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body>
    <w:p>
      <w:pPr>
        <w:pStyle w:val="Heading1"/>
        <w:keepNext/>
        <w:keepLines/>
        <w:spacing w:line="276" w:lineRule="auto"/>
        <w:jc w:val="left"/>
        <w:outlineLvl w:val="0"/>
      </w:pPr>
      <w:r>
        <w:rPr>
          <w:rFonts w:ascii="Calibri" w:hAnsi="Calibri" w:cs="Calibri"/>
          <w:noProof/>
          <w:color w:val="000000"/>
          <w:sz w:val="48"/>
          <w:szCs w:val="48"/>
        </w:rPr>
        <w:t xml:space="preserve">External Penetration Test Report</w:t>
      </w:r>
    </w:p>
    <w:p>
      <w:pPr>
        <w:spacing w:line="276" w:lineRule="auto"/>
        <w:jc w:val="left"/>
      </w:pPr>
      <w:r>
        <w:rPr>
          <w:rFonts w:ascii="Calibri" w:hAnsi="Calibri" w:cs="Calibri"/>
          <w:b/>
          <w:noProof/>
          <w:color w:val="000000"/>
          <w:sz w:val="22"/>
          <w:szCs w:val="22"/>
        </w:rPr>
        <w:t xml:space="preserve">Client: </w:t>
      </w:r>
      <w:r>
        <w:rPr>
          <w:rFonts w:ascii="Calibri" w:hAnsi="Calibri" w:cs="Calibri"/>
          <w:noProof/>
          <w:color w:val="000000"/>
          <w:sz w:val="22"/>
          <w:szCs w:val="22"/>
        </w:rPr>
        <w:t xml:space="preserve">Aurora Commerce, Inc.    </w:t>
      </w:r>
      <w:r>
        <w:rPr>
          <w:rFonts w:ascii="Calibri" w:hAnsi="Calibri" w:cs="Calibri"/>
          <w:b/>
          <w:noProof/>
          <w:color w:val="000000"/>
          <w:sz w:val="22"/>
          <w:szCs w:val="22"/>
        </w:rPr>
        <w:t xml:space="preserve">Engagement: </w:t>
      </w:r>
      <w:r>
        <w:rPr>
          <w:rFonts w:ascii="Calibri" w:hAnsi="Calibri" w:cs="Calibri"/>
          <w:noProof/>
          <w:color w:val="000000"/>
          <w:sz w:val="22"/>
          <w:szCs w:val="22"/>
        </w:rPr>
        <w:t xml:space="preserve">ENG-2026-0412    </w:t>
      </w:r>
      <w:r>
        <w:rPr>
          <w:rFonts w:ascii="Calibri" w:hAnsi="Calibri" w:cs="Calibri"/>
          <w:b/>
          <w:noProof/>
          <w:color w:val="000000"/>
          <w:sz w:val="22"/>
          <w:szCs w:val="22"/>
        </w:rPr>
        <w:t xml:space="preserve">Classification: </w:t>
      </w:r>
      <w:r>
        <w:rPr>
          <w:rFonts w:ascii="Calibri" w:hAnsi="Calibri" w:cs="Calibri"/>
          <w:noProof/>
          <w:color w:val="000000"/>
          <w:sz w:val="22"/>
          <w:szCs w:val="22"/>
        </w:rPr>
        <w:t xml:space="preserve">Confidential</w:t>
      </w:r>
    </w:p>
    <w:p>
      <w:pPr>
        <w:spacing w:line="276" w:lineRule="auto"/>
        <w:jc w:val="left"/>
      </w:pPr>
      <w:r>
        <w:rPr>
          <w:rFonts w:ascii="Calibri" w:hAnsi="Calibri" w:cs="Calibri"/>
          <w:b/>
          <w:noProof/>
          <w:color w:val="000000"/>
          <w:sz w:val="22"/>
          <w:szCs w:val="22"/>
        </w:rPr>
        <w:t xml:space="preserve">Testing window: </w:t>
      </w:r>
      <w:r>
        <w:rPr>
          <w:rFonts w:ascii="Calibri" w:hAnsi="Calibri" w:cs="Calibri"/>
          <w:noProof/>
          <w:color w:val="000000"/>
          <w:sz w:val="22"/>
          <w:szCs w:val="22"/>
        </w:rPr>
        <w:t xml:space="preserve">18–29 May 2026    </w:t>
      </w:r>
      <w:r>
        <w:rPr>
          <w:rFonts w:ascii="Calibri" w:hAnsi="Calibri" w:cs="Calibri"/>
          <w:b/>
          <w:noProof/>
          <w:color w:val="000000"/>
          <w:sz w:val="22"/>
          <w:szCs w:val="22"/>
        </w:rPr>
        <w:t xml:space="preserve">Report date: </w:t>
      </w:r>
      <w:r>
        <w:rPr>
          <w:rFonts w:ascii="Calibri" w:hAnsi="Calibri" w:cs="Calibri"/>
          <w:noProof/>
          <w:color w:val="000000"/>
          <w:sz w:val="22"/>
          <w:szCs w:val="22"/>
        </w:rPr>
        <w:t xml:space="preserve">5 June 2026    </w:t>
      </w:r>
      <w:r>
        <w:rPr>
          <w:rFonts w:ascii="Calibri" w:hAnsi="Calibri" w:cs="Calibri"/>
          <w:b/>
          <w:noProof/>
          <w:color w:val="000000"/>
          <w:sz w:val="22"/>
          <w:szCs w:val="22"/>
        </w:rPr>
        <w:t xml:space="preserve">Lead tester: </w:t>
      </w:r>
      <w:r>
        <w:rPr>
          <w:rFonts w:ascii="Calibri" w:hAnsi="Calibri" w:cs="Calibri"/>
          <w:noProof/>
          <w:color w:val="000000"/>
          <w:sz w:val="22"/>
          <w:szCs w:val="22"/>
        </w:rPr>
        <w:t xml:space="preserve">M. Ferreira, OSCP</w:t>
      </w:r>
    </w:p>
    <w:p>
      <w:pPr>
        <w:pStyle w:val="Heading2"/>
        <w:keepNext/>
        <w:keepLines/>
        <w:spacing w:line="276" w:lineRule="auto"/>
        <w:jc w:val="left"/>
        <w:outlineLvl w:val="1"/>
      </w:pPr>
      <w:r>
        <w:rPr>
          <w:rFonts w:ascii="Calibri" w:hAnsi="Calibri" w:cs="Calibri"/>
          <w:noProof/>
          <w:color w:val="000000"/>
          <w:sz w:val="40"/>
          <w:szCs w:val="40"/>
        </w:rPr>
        <w:t xml:space="preserve">1. Executive summary</w:t>
      </w:r>
    </w:p>
    <w:p>
      <w:pPr>
        <w:spacing w:line="276" w:lineRule="auto"/>
        <w:jc w:val="left"/>
      </w:pPr>
      <w:r>
        <w:rPr>
          <w:rFonts w:ascii="Calibri" w:hAnsi="Calibri" w:cs="Calibri"/>
          <w:noProof/>
          <w:color w:val="000000"/>
          <w:sz w:val="22"/>
          <w:szCs w:val="22"/>
        </w:rPr>
        <w:t xml:space="preserve">Halcyon Security performed a grey-box external penetration test of the Aurora web platform (app.auroracommerce.com and its supporting API) between 18 and 29 May 2026. The objective was to identify vulnerabilities exploitable by an unauthenticated or low-privilege internet attacker and to assess the impact on customer data confidentiality and platform integrity.</w:t>
      </w:r>
    </w:p>
    <w:p>
      <w:pPr>
        <w:spacing w:line="276" w:lineRule="auto"/>
        <w:jc w:val="left"/>
      </w:pPr>
      <w:r>
        <w:rPr>
          <w:rFonts w:ascii="Calibri" w:hAnsi="Calibri" w:cs="Calibri"/>
          <w:noProof/>
          <w:color w:val="000000"/>
          <w:sz w:val="22"/>
          <w:szCs w:val="22"/>
        </w:rPr>
        <w:t xml:space="preserve">The assessment identified seven findings: one critical, two high, two medium, and two low. The critical finding (AUR-01) allowed an unauthenticated attacker to enumerate and retrieve other customers' order records through an insecure direct object reference in the order-history API. Combined with the high-severity finding AUR-02, an attacker could pivot from order data to partial payment metadata. We recommend prioritizing remediation of AUR-01 and AUR-02 before the platform's planned marketing launch.</w:t>
      </w:r>
    </w:p>
    <w:p>
      <w:pPr>
        <w:spacing w:line="276" w:lineRule="auto"/>
        <w:jc w:val="left"/>
      </w:pPr>
      <w:r>
        <w:rPr>
          <w:rFonts w:ascii="Calibri" w:hAnsi="Calibri" w:cs="Calibri"/>
          <w:noProof/>
          <w:color w:val="000000"/>
          <w:sz w:val="22"/>
          <w:szCs w:val="22"/>
        </w:rPr>
        <w:t xml:space="preserve">The platform demonstrated mature controls in several areas: TLS configuration scored strongly, session cookies carried correct security attributes, and the WAF blocked all reflected cross-site scripting payloads attempted during testing. No remote code execution or authentication bypass affecting the administrative console was identified.</w:t>
      </w:r>
    </w:p>
    <w:p>
      <w:pPr>
        <w:pStyle w:val="Heading2"/>
        <w:keepNext/>
        <w:keepLines/>
        <w:spacing w:line="276" w:lineRule="auto"/>
        <w:jc w:val="left"/>
        <w:outlineLvl w:val="1"/>
      </w:pPr>
      <w:r>
        <w:rPr>
          <w:rFonts w:ascii="Calibri" w:hAnsi="Calibri" w:cs="Calibri"/>
          <w:noProof/>
          <w:color w:val="000000"/>
          <w:sz w:val="40"/>
          <w:szCs w:val="40"/>
        </w:rPr>
        <w:t xml:space="preserve">2. Findings by severity</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Findings count by severity"/>
      </w:tblPr>
      <w:tblGrid>
        <w:gridCol w:w="2600"/>
        <w:gridCol w:w="1400"/>
        <w:gridCol w:w="5360"/>
      </w:tblGrid>
      <w:tr>
        <w:trPr>
          <w:cantSplit/>
          <w:trHeight w:val="300" w:hRule="atLeast"/>
          <w:tblHeader/>
        </w:trPr>
        <w:tc>
          <w:tcPr>
            <w:tcW w:w="2600"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Severity</w:t>
            </w:r>
          </w:p>
        </w:tc>
        <w:tc>
          <w:tcPr>
            <w:tcW w:w="1400"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Count</w:t>
            </w:r>
          </w:p>
        </w:tc>
        <w:tc>
          <w:tcPr>
            <w:tcW w:w="5360"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Representative finding</w:t>
            </w:r>
          </w:p>
        </w:tc>
      </w:tr>
      <w:tr>
        <w:trPr>
          <w:cantSplit/>
          <w:trHeight w:val="300" w:hRule="atLeast"/>
        </w:trPr>
        <w:tc>
          <w:tcPr>
            <w:tcW w:w="2600" w:type="dxa"/>
            <w:shd w:val="clear" w:color="auto" w:fill="922B21"/>
            <w:tcMar>
              <w:top w:w="30" w:type="dxa"/>
              <w:left w:w="75" w:type="dxa"/>
              <w:bottom w:w="30" w:type="dxa"/>
              <w:right w:w="75" w:type="dxa"/>
            </w:tcMar>
            <w:vAlign w:val="top"/>
          </w:tcPr>
          <w:p>
            <w:pPr>
              <w:shd w:val="clear" w:color="auto" w:fill="922B21"/>
              <w:spacing w:line="276" w:lineRule="auto"/>
              <w:jc w:val="left"/>
            </w:pPr>
            <w:r>
              <w:rPr>
                <w:rFonts w:ascii="Calibri" w:hAnsi="Calibri" w:cs="Calibri"/>
                <w:b/>
                <w:noProof/>
                <w:color w:val="FFFFFF"/>
                <w:sz w:val="22"/>
                <w:szCs w:val="22"/>
              </w:rPr>
              <w:t xml:space="preserve">Critical</w:t>
            </w:r>
          </w:p>
        </w:tc>
        <w:tc>
          <w:tcPr>
            <w:tcW w:w="140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1</w:t>
            </w:r>
          </w:p>
        </w:tc>
        <w:tc>
          <w:tcPr>
            <w:tcW w:w="5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AUR-01 — IDOR in order-history API exposes cross-customer order data</w:t>
            </w:r>
          </w:p>
        </w:tc>
      </w:tr>
      <w:tr>
        <w:trPr>
          <w:cantSplit/>
          <w:trHeight w:val="300" w:hRule="atLeast"/>
        </w:trPr>
        <w:tc>
          <w:tcPr>
            <w:tcW w:w="2600" w:type="dxa"/>
            <w:shd w:val="clear" w:color="auto" w:fill="C0392B"/>
            <w:tcMar>
              <w:top w:w="30" w:type="dxa"/>
              <w:left w:w="75" w:type="dxa"/>
              <w:bottom w:w="30" w:type="dxa"/>
              <w:right w:w="75" w:type="dxa"/>
            </w:tcMar>
            <w:vAlign w:val="top"/>
          </w:tcPr>
          <w:p>
            <w:pPr>
              <w:shd w:val="clear" w:color="auto" w:fill="C0392B"/>
              <w:spacing w:line="276" w:lineRule="auto"/>
              <w:jc w:val="left"/>
            </w:pPr>
            <w:r>
              <w:rPr>
                <w:rFonts w:ascii="Calibri" w:hAnsi="Calibri" w:cs="Calibri"/>
                <w:b/>
                <w:noProof/>
                <w:color w:val="FFFFFF"/>
                <w:sz w:val="22"/>
                <w:szCs w:val="22"/>
              </w:rPr>
              <w:t xml:space="preserve">High</w:t>
            </w:r>
          </w:p>
        </w:tc>
        <w:tc>
          <w:tcPr>
            <w:tcW w:w="1400" w:type="dxa"/>
            <w:shd w:val="clear" w:color="auto" w:fill="DCE6F1"/>
            <w:tcMar>
              <w:top w:w="30" w:type="dxa"/>
              <w:left w:w="75" w:type="dxa"/>
              <w:bottom w:w="30" w:type="dxa"/>
              <w:right w:w="75" w:type="dxa"/>
            </w:tcMar>
            <w:vAlign w:val="top"/>
          </w:tcPr>
          <w:p>
            <w:pPr>
              <w:shd w:val="clear" w:color="auto" w:fill="DCE6F1"/>
              <w:spacing w:line="276" w:lineRule="auto"/>
              <w:jc w:val="center"/>
            </w:pPr>
            <w:r>
              <w:rPr>
                <w:rFonts w:ascii="Calibri" w:hAnsi="Calibri" w:cs="Calibri"/>
                <w:noProof/>
                <w:color w:val="000000"/>
                <w:sz w:val="22"/>
                <w:szCs w:val="22"/>
              </w:rPr>
              <w:t xml:space="preserve">2</w:t>
            </w:r>
          </w:p>
        </w:tc>
        <w:tc>
          <w:tcPr>
            <w:tcW w:w="5360"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AUR-02 — Payment metadata leakage; AUR-03 — missing rate limiting on auth</w:t>
            </w:r>
          </w:p>
        </w:tc>
      </w:tr>
      <w:tr>
        <w:trPr>
          <w:cantSplit/>
          <w:trHeight w:val="300" w:hRule="atLeast"/>
        </w:trPr>
        <w:tc>
          <w:tcPr>
            <w:tcW w:w="2600" w:type="dxa"/>
            <w:shd w:val="clear" w:color="auto" w:fill="E67E22"/>
            <w:tcMar>
              <w:top w:w="30" w:type="dxa"/>
              <w:left w:w="75" w:type="dxa"/>
              <w:bottom w:w="30" w:type="dxa"/>
              <w:right w:w="75" w:type="dxa"/>
            </w:tcMar>
            <w:vAlign w:val="top"/>
          </w:tcPr>
          <w:p>
            <w:pPr>
              <w:shd w:val="clear" w:color="auto" w:fill="E67E22"/>
              <w:spacing w:line="276" w:lineRule="auto"/>
              <w:jc w:val="left"/>
            </w:pPr>
            <w:r>
              <w:rPr>
                <w:rFonts w:ascii="Calibri" w:hAnsi="Calibri" w:cs="Calibri"/>
                <w:b/>
                <w:noProof/>
                <w:color w:val="FFFFFF"/>
                <w:sz w:val="22"/>
                <w:szCs w:val="22"/>
              </w:rPr>
              <w:t xml:space="preserve">Medium</w:t>
            </w:r>
          </w:p>
        </w:tc>
        <w:tc>
          <w:tcPr>
            <w:tcW w:w="140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2</w:t>
            </w:r>
          </w:p>
        </w:tc>
        <w:tc>
          <w:tcPr>
            <w:tcW w:w="5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AUR-04 — verbose error messages; AUR-05 — weak password policy</w:t>
            </w:r>
          </w:p>
        </w:tc>
      </w:tr>
      <w:tr>
        <w:trPr>
          <w:cantSplit/>
          <w:trHeight w:val="300" w:hRule="atLeast"/>
        </w:trPr>
        <w:tc>
          <w:tcPr>
            <w:tcW w:w="2600" w:type="dxa"/>
            <w:shd w:val="clear" w:color="auto" w:fill="F1C40F"/>
            <w:tcMar>
              <w:top w:w="30" w:type="dxa"/>
              <w:left w:w="75" w:type="dxa"/>
              <w:bottom w:w="30" w:type="dxa"/>
              <w:right w:w="75" w:type="dxa"/>
            </w:tcMar>
            <w:vAlign w:val="top"/>
          </w:tcPr>
          <w:p>
            <w:pPr>
              <w:shd w:val="clear" w:color="auto" w:fill="F1C40F"/>
              <w:spacing w:line="276" w:lineRule="auto"/>
              <w:jc w:val="left"/>
            </w:pPr>
            <w:r>
              <w:rPr>
                <w:rFonts w:ascii="Calibri" w:hAnsi="Calibri" w:cs="Calibri"/>
                <w:b/>
                <w:noProof/>
                <w:color w:val="000000"/>
                <w:sz w:val="22"/>
                <w:szCs w:val="22"/>
              </w:rPr>
              <w:t xml:space="preserve">Low</w:t>
            </w:r>
          </w:p>
        </w:tc>
        <w:tc>
          <w:tcPr>
            <w:tcW w:w="1400" w:type="dxa"/>
            <w:shd w:val="clear" w:color="auto" w:fill="DCE6F1"/>
            <w:tcMar>
              <w:top w:w="30" w:type="dxa"/>
              <w:left w:w="75" w:type="dxa"/>
              <w:bottom w:w="30" w:type="dxa"/>
              <w:right w:w="75" w:type="dxa"/>
            </w:tcMar>
            <w:vAlign w:val="top"/>
          </w:tcPr>
          <w:p>
            <w:pPr>
              <w:shd w:val="clear" w:color="auto" w:fill="DCE6F1"/>
              <w:spacing w:line="276" w:lineRule="auto"/>
              <w:jc w:val="center"/>
            </w:pPr>
            <w:r>
              <w:rPr>
                <w:rFonts w:ascii="Calibri" w:hAnsi="Calibri" w:cs="Calibri"/>
                <w:noProof/>
                <w:color w:val="000000"/>
                <w:sz w:val="22"/>
                <w:szCs w:val="22"/>
              </w:rPr>
              <w:t xml:space="preserve">2</w:t>
            </w:r>
          </w:p>
        </w:tc>
        <w:tc>
          <w:tcPr>
            <w:tcW w:w="5360"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AUR-06 — missing security headers; AUR-07 — outdated JS dependency</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3. Scope</w:t>
      </w:r>
    </w:p>
    <w:tbl>
      <w:tblPr>
        <w:tblW w:w="9360" w:type="dxa"/>
        <w:tblBorders>
          <w:top w:val="nil"/>
          <w:left w:val="nil"/>
          <w:bottom w:val="nil"/>
          <w:right w:val="nil"/>
          <w:insideH w:val="nil"/>
          <w:insideV w:val="nil"/>
        </w:tblBorders>
        <w:tblLayout w:type="fixed"/>
        <w:tblCellMar>
          <w:top w:w="72" w:type="dxa"/>
          <w:left w:w="108" w:type="dxa"/>
          <w:bottom w:w="72" w:type="dxa"/>
          <w:right w:w="108" w:type="dxa"/>
        </w:tblCellMar>
      </w:tblPr>
      <w:tblGrid>
        <w:gridCol w:w="3500"/>
        <w:gridCol w:w="3300"/>
        <w:gridCol w:w="2560"/>
      </w:tblGrid>
      <w:tr>
        <w:trPr>
          <w:cantSplit/>
          <w:trHeight w:val="300" w:hRule="atLeast"/>
          <w:tblHeader/>
        </w:trPr>
        <w:tc>
          <w:tcPr>
            <w:tcW w:w="350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Asset</w:t>
            </w:r>
          </w:p>
        </w:tc>
        <w:tc>
          <w:tcPr>
            <w:tcW w:w="330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Type</w:t>
            </w:r>
          </w:p>
        </w:tc>
        <w:tc>
          <w:tcPr>
            <w:tcW w:w="25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In scope</w:t>
            </w:r>
          </w:p>
        </w:tc>
      </w:tr>
      <w:tr>
        <w:trPr>
          <w:cantSplit/>
          <w:trHeight w:val="300" w:hRule="atLeast"/>
        </w:trPr>
        <w:tc>
          <w:tcPr>
            <w:tcW w:w="35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app.auroracommerce.com</w:t>
            </w:r>
          </w:p>
        </w:tc>
        <w:tc>
          <w:tcPr>
            <w:tcW w:w="33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Web application (SPA)</w:t>
            </w:r>
          </w:p>
        </w:tc>
        <w:tc>
          <w:tcPr>
            <w:tcW w:w="2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Yes</w:t>
            </w:r>
          </w:p>
        </w:tc>
      </w:tr>
      <w:tr>
        <w:trPr>
          <w:cantSplit/>
          <w:trHeight w:val="300" w:hRule="atLeast"/>
        </w:trPr>
        <w:tc>
          <w:tcPr>
            <w:tcW w:w="350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api.auroracommerce.com</w:t>
            </w:r>
          </w:p>
        </w:tc>
        <w:tc>
          <w:tcPr>
            <w:tcW w:w="330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REST API (v2)</w:t>
            </w:r>
          </w:p>
        </w:tc>
        <w:tc>
          <w:tcPr>
            <w:tcW w:w="25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Yes</w:t>
            </w:r>
          </w:p>
        </w:tc>
      </w:tr>
      <w:tr>
        <w:trPr>
          <w:cantSplit/>
          <w:trHeight w:val="300" w:hRule="atLeast"/>
        </w:trPr>
        <w:tc>
          <w:tcPr>
            <w:tcW w:w="35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admin.auroracommerce.com</w:t>
            </w:r>
          </w:p>
        </w:tc>
        <w:tc>
          <w:tcPr>
            <w:tcW w:w="33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Admin console</w:t>
            </w:r>
          </w:p>
        </w:tc>
        <w:tc>
          <w:tcPr>
            <w:tcW w:w="2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Yes — authenticated</w:t>
            </w:r>
          </w:p>
        </w:tc>
      </w:tr>
      <w:tr>
        <w:trPr>
          <w:cantSplit/>
          <w:trHeight w:val="300" w:hRule="atLeast"/>
        </w:trPr>
        <w:tc>
          <w:tcPr>
            <w:tcW w:w="350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*.internal.auroracommerce.com</w:t>
            </w:r>
          </w:p>
        </w:tc>
        <w:tc>
          <w:tcPr>
            <w:tcW w:w="330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Internal services</w:t>
            </w:r>
          </w:p>
        </w:tc>
        <w:tc>
          <w:tcPr>
            <w:tcW w:w="25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No — out of scope</w:t>
            </w:r>
          </w:p>
        </w:tc>
      </w:tr>
      <w:tr>
        <w:trPr>
          <w:cantSplit/>
          <w:trHeight w:val="300" w:hRule="atLeast"/>
        </w:trPr>
        <w:tc>
          <w:tcPr>
            <w:tcW w:w="35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Third-party payment iframe</w:t>
            </w:r>
          </w:p>
        </w:tc>
        <w:tc>
          <w:tcPr>
            <w:tcW w:w="33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PCI service provider</w:t>
            </w:r>
          </w:p>
        </w:tc>
        <w:tc>
          <w:tcPr>
            <w:tcW w:w="2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 — vendor scope</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4. Methodology</w:t>
      </w:r>
    </w:p>
    <w:p>
      <w:pPr>
        <w:spacing w:line="276" w:lineRule="auto"/>
        <w:jc w:val="left"/>
      </w:pPr>
      <w:r>
        <w:rPr>
          <w:rFonts w:ascii="Calibri" w:hAnsi="Calibri" w:cs="Calibri"/>
          <w:noProof/>
          <w:color w:val="000000"/>
          <w:sz w:val="22"/>
          <w:szCs w:val="22"/>
        </w:rPr>
        <w:t xml:space="preserve">Testing followed the OWASP Web Security Testing Guide (WSTG) v4.2 and the PTES execution standard. Severity ratings use CVSS v3.1 base scores mapped to qualitative bands (Critical 9.0–10.0, High 7.0–8.9, Medium 4.0–6.9, Low 0.1–3.9). Activities included:</w:t>
      </w:r>
    </w:p>
    <w:p>
      <w:pPr>
        <w:pStyle w:val="ListParagraph"/>
        <w:numPr>
          <w:ilvl w:val="0"/>
          <w:numId w:val="1"/>
        </w:numPr>
        <w:spacing w:line="276" w:lineRule="auto"/>
        <w:jc w:val="left"/>
      </w:pPr>
      <w:r>
        <w:rPr>
          <w:rFonts w:ascii="Calibri" w:hAnsi="Calibri" w:cs="Calibri"/>
          <w:noProof/>
          <w:color w:val="000000"/>
          <w:sz w:val="22"/>
          <w:szCs w:val="22"/>
        </w:rPr>
        <w:t xml:space="preserve">Reconnaissance and attack-surface mapping</w:t>
      </w:r>
    </w:p>
    <w:p>
      <w:pPr>
        <w:pStyle w:val="ListParagraph"/>
        <w:numPr>
          <w:ilvl w:val="1"/>
          <w:numId w:val="1"/>
        </w:numPr>
        <w:spacing w:line="276" w:lineRule="auto"/>
        <w:jc w:val="left"/>
      </w:pPr>
      <w:r>
        <w:rPr>
          <w:rFonts w:ascii="Calibri" w:hAnsi="Calibri" w:cs="Calibri"/>
          <w:noProof/>
          <w:color w:val="000000"/>
          <w:sz w:val="22"/>
          <w:szCs w:val="22"/>
        </w:rPr>
        <w:t xml:space="preserve">Subdomain enumeration and TLS inspection</w:t>
      </w:r>
    </w:p>
    <w:p>
      <w:pPr>
        <w:pStyle w:val="ListParagraph"/>
        <w:numPr>
          <w:ilvl w:val="1"/>
          <w:numId w:val="1"/>
        </w:numPr>
        <w:spacing w:line="276" w:lineRule="auto"/>
        <w:jc w:val="left"/>
      </w:pPr>
      <w:r>
        <w:rPr>
          <w:rFonts w:ascii="Calibri" w:hAnsi="Calibri" w:cs="Calibri"/>
          <w:noProof/>
          <w:color w:val="000000"/>
          <w:sz w:val="22"/>
          <w:szCs w:val="22"/>
        </w:rPr>
        <w:t xml:space="preserve">API endpoint discovery from the SPA bundle</w:t>
      </w:r>
    </w:p>
    <w:p>
      <w:pPr>
        <w:pStyle w:val="ListParagraph"/>
        <w:numPr>
          <w:ilvl w:val="0"/>
          <w:numId w:val="1"/>
        </w:numPr>
        <w:spacing w:line="276" w:lineRule="auto"/>
        <w:jc w:val="left"/>
      </w:pPr>
      <w:r>
        <w:rPr>
          <w:rFonts w:ascii="Calibri" w:hAnsi="Calibri" w:cs="Calibri"/>
          <w:noProof/>
          <w:color w:val="000000"/>
          <w:sz w:val="22"/>
          <w:szCs w:val="22"/>
        </w:rPr>
        <w:t xml:space="preserve">Authentication and session management testing</w:t>
      </w:r>
    </w:p>
    <w:p>
      <w:pPr>
        <w:pStyle w:val="ListParagraph"/>
        <w:numPr>
          <w:ilvl w:val="0"/>
          <w:numId w:val="1"/>
        </w:numPr>
        <w:spacing w:line="276" w:lineRule="auto"/>
        <w:jc w:val="left"/>
      </w:pPr>
      <w:r>
        <w:rPr>
          <w:rFonts w:ascii="Calibri" w:hAnsi="Calibri" w:cs="Calibri"/>
          <w:noProof/>
          <w:color w:val="000000"/>
          <w:sz w:val="22"/>
          <w:szCs w:val="22"/>
        </w:rPr>
        <w:t xml:space="preserve">Authorization and access-control testing (horizontal and vertical)</w:t>
      </w:r>
    </w:p>
    <w:p>
      <w:pPr>
        <w:pStyle w:val="ListParagraph"/>
        <w:numPr>
          <w:ilvl w:val="0"/>
          <w:numId w:val="1"/>
        </w:numPr>
        <w:spacing w:line="276" w:lineRule="auto"/>
        <w:jc w:val="left"/>
      </w:pPr>
      <w:r>
        <w:rPr>
          <w:rFonts w:ascii="Calibri" w:hAnsi="Calibri" w:cs="Calibri"/>
          <w:noProof/>
          <w:color w:val="000000"/>
          <w:sz w:val="22"/>
          <w:szCs w:val="22"/>
        </w:rPr>
        <w:t xml:space="preserve">Input validation, injection, and business-logic testing</w:t>
      </w:r>
    </w:p>
    <w:p>
      <w:pPr>
        <w:pStyle w:val="ListParagraph"/>
        <w:numPr>
          <w:ilvl w:val="0"/>
          <w:numId w:val="1"/>
        </w:numPr>
        <w:spacing w:line="276" w:lineRule="auto"/>
        <w:jc w:val="left"/>
      </w:pPr>
      <w:r>
        <w:rPr>
          <w:rFonts w:ascii="Calibri" w:hAnsi="Calibri" w:cs="Calibri"/>
          <w:noProof/>
          <w:color w:val="000000"/>
          <w:sz w:val="22"/>
          <w:szCs w:val="22"/>
        </w:rPr>
        <w:t xml:space="preserve">Configuration and dependency review</w:t>
      </w:r>
    </w:p>
    <w:p>
      <w:pPr>
        <w:pStyle w:val="Heading2"/>
        <w:keepNext/>
        <w:keepLines/>
        <w:spacing w:line="276" w:lineRule="auto"/>
        <w:jc w:val="left"/>
        <w:outlineLvl w:val="1"/>
      </w:pPr>
      <w:r>
        <w:rPr>
          <w:rFonts w:ascii="Calibri" w:hAnsi="Calibri" w:cs="Calibri"/>
          <w:noProof/>
          <w:color w:val="000000"/>
          <w:sz w:val="40"/>
          <w:szCs w:val="40"/>
        </w:rPr>
        <w:t xml:space="preserve">5. Detailed findings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Findings register"/>
      </w:tblPr>
      <w:tblGrid>
        <w:gridCol w:w="1040"/>
        <w:gridCol w:w="4200"/>
        <w:gridCol w:w="1560"/>
        <w:gridCol w:w="960"/>
        <w:gridCol w:w="1600"/>
      </w:tblGrid>
      <w:tr>
        <w:trPr>
          <w:cantSplit/>
          <w:trHeight w:val="300" w:hRule="atLeast"/>
          <w:tblHeader/>
        </w:trPr>
        <w:tc>
          <w:tcPr>
            <w:tcW w:w="10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ID</w:t>
            </w:r>
          </w:p>
        </w:tc>
        <w:tc>
          <w:tcPr>
            <w:tcW w:w="42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Finding</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Severity</w:t>
            </w:r>
          </w:p>
        </w:tc>
        <w:tc>
          <w:tcPr>
            <w:tcW w:w="9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CVSS</w:t>
            </w:r>
          </w:p>
        </w:tc>
        <w:tc>
          <w:tcPr>
            <w:tcW w:w="16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Status</w:t>
            </w:r>
          </w:p>
        </w:tc>
      </w:tr>
      <w:tr>
        <w:trPr>
          <w:cantSplit/>
          <w:trHeight w:val="300" w:hRule="atLeast"/>
        </w:trPr>
        <w:tc>
          <w:tcPr>
            <w:tcW w:w="10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AUR-01</w:t>
            </w:r>
          </w:p>
        </w:tc>
        <w:tc>
          <w:tcPr>
            <w:tcW w:w="42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IDOR: order-history API returns records for any order_id without ownership check</w:t>
            </w:r>
          </w:p>
        </w:tc>
        <w:tc>
          <w:tcPr>
            <w:tcW w:w="1560" w:type="dxa"/>
            <w:shd w:val="clear" w:color="auto" w:fill="922B21"/>
            <w:tcMar>
              <w:top w:w="30" w:type="dxa"/>
              <w:left w:w="75" w:type="dxa"/>
              <w:bottom w:w="30" w:type="dxa"/>
              <w:right w:w="75" w:type="dxa"/>
            </w:tcMar>
            <w:vAlign w:val="top"/>
          </w:tcPr>
          <w:p>
            <w:pPr>
              <w:shd w:val="clear" w:color="auto" w:fill="922B21"/>
              <w:spacing w:line="276" w:lineRule="auto"/>
              <w:jc w:val="center"/>
            </w:pPr>
            <w:r>
              <w:rPr>
                <w:rFonts w:ascii="Calibri" w:hAnsi="Calibri" w:cs="Calibri"/>
                <w:b/>
                <w:noProof/>
                <w:color w:val="FFFFFF"/>
                <w:sz w:val="22"/>
                <w:szCs w:val="22"/>
              </w:rPr>
              <w:t xml:space="preserve">Critical</w:t>
            </w:r>
          </w:p>
        </w:tc>
        <w:tc>
          <w:tcPr>
            <w:tcW w:w="96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9.1</w:t>
            </w:r>
          </w:p>
        </w:tc>
        <w:tc>
          <w:tcPr>
            <w:tcW w:w="16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Open</w:t>
            </w:r>
          </w:p>
        </w:tc>
      </w:tr>
      <w:tr>
        <w:trPr>
          <w:cantSplit/>
          <w:trHeight w:val="300" w:hRule="atLeast"/>
        </w:trPr>
        <w:tc>
          <w:tcPr>
            <w:tcW w:w="10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AUR-02</w:t>
            </w:r>
          </w:p>
        </w:tc>
        <w:tc>
          <w:tcPr>
            <w:tcW w:w="42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Payment metadata (last-4, card brand, billing ZIP) exposed in order JSON response</w:t>
            </w:r>
          </w:p>
        </w:tc>
        <w:tc>
          <w:tcPr>
            <w:tcW w:w="1560" w:type="dxa"/>
            <w:shd w:val="clear" w:color="auto" w:fill="C0392B"/>
            <w:tcMar>
              <w:top w:w="30" w:type="dxa"/>
              <w:left w:w="75" w:type="dxa"/>
              <w:bottom w:w="30" w:type="dxa"/>
              <w:right w:w="75" w:type="dxa"/>
            </w:tcMar>
            <w:vAlign w:val="top"/>
          </w:tcPr>
          <w:p>
            <w:pPr>
              <w:shd w:val="clear" w:color="auto" w:fill="C0392B"/>
              <w:spacing w:line="276" w:lineRule="auto"/>
              <w:jc w:val="center"/>
            </w:pPr>
            <w:r>
              <w:rPr>
                <w:rFonts w:ascii="Calibri" w:hAnsi="Calibri" w:cs="Calibri"/>
                <w:b/>
                <w:noProof/>
                <w:color w:val="FFFFFF"/>
                <w:sz w:val="22"/>
                <w:szCs w:val="22"/>
              </w:rPr>
              <w:t xml:space="preserve">High</w:t>
            </w:r>
          </w:p>
        </w:tc>
        <w:tc>
          <w:tcPr>
            <w:tcW w:w="96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8.2</w:t>
            </w:r>
          </w:p>
        </w:tc>
        <w:tc>
          <w:tcPr>
            <w:tcW w:w="16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Open</w:t>
            </w:r>
          </w:p>
        </w:tc>
      </w:tr>
      <w:tr>
        <w:trPr>
          <w:cantSplit/>
          <w:trHeight w:val="300" w:hRule="atLeast"/>
        </w:trPr>
        <w:tc>
          <w:tcPr>
            <w:tcW w:w="10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AUR-03</w:t>
            </w:r>
          </w:p>
        </w:tc>
        <w:tc>
          <w:tcPr>
            <w:tcW w:w="42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 rate limiting on POST /v2/auth/login enables credential-stuffing at scale</w:t>
            </w:r>
          </w:p>
        </w:tc>
        <w:tc>
          <w:tcPr>
            <w:tcW w:w="1560" w:type="dxa"/>
            <w:shd w:val="clear" w:color="auto" w:fill="C0392B"/>
            <w:tcMar>
              <w:top w:w="30" w:type="dxa"/>
              <w:left w:w="75" w:type="dxa"/>
              <w:bottom w:w="30" w:type="dxa"/>
              <w:right w:w="75" w:type="dxa"/>
            </w:tcMar>
            <w:vAlign w:val="top"/>
          </w:tcPr>
          <w:p>
            <w:pPr>
              <w:shd w:val="clear" w:color="auto" w:fill="C0392B"/>
              <w:spacing w:line="276" w:lineRule="auto"/>
              <w:jc w:val="center"/>
            </w:pPr>
            <w:r>
              <w:rPr>
                <w:rFonts w:ascii="Calibri" w:hAnsi="Calibri" w:cs="Calibri"/>
                <w:b/>
                <w:noProof/>
                <w:color w:val="FFFFFF"/>
                <w:sz w:val="22"/>
                <w:szCs w:val="22"/>
              </w:rPr>
              <w:t xml:space="preserve">High</w:t>
            </w:r>
          </w:p>
        </w:tc>
        <w:tc>
          <w:tcPr>
            <w:tcW w:w="96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7.5</w:t>
            </w:r>
          </w:p>
        </w:tc>
        <w:tc>
          <w:tcPr>
            <w:tcW w:w="16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Open</w:t>
            </w:r>
          </w:p>
        </w:tc>
      </w:tr>
      <w:tr>
        <w:trPr>
          <w:cantSplit/>
          <w:trHeight w:val="300" w:hRule="atLeast"/>
        </w:trPr>
        <w:tc>
          <w:tcPr>
            <w:tcW w:w="10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AUR-04</w:t>
            </w:r>
          </w:p>
        </w:tc>
        <w:tc>
          <w:tcPr>
            <w:tcW w:w="42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Verbose stack traces returned on 500 errors reveal framework and query structure</w:t>
            </w:r>
          </w:p>
        </w:tc>
        <w:tc>
          <w:tcPr>
            <w:tcW w:w="1560" w:type="dxa"/>
            <w:shd w:val="clear" w:color="auto" w:fill="E67E22"/>
            <w:tcMar>
              <w:top w:w="30" w:type="dxa"/>
              <w:left w:w="75" w:type="dxa"/>
              <w:bottom w:w="30" w:type="dxa"/>
              <w:right w:w="75" w:type="dxa"/>
            </w:tcMar>
            <w:vAlign w:val="top"/>
          </w:tcPr>
          <w:p>
            <w:pPr>
              <w:shd w:val="clear" w:color="auto" w:fill="E67E22"/>
              <w:spacing w:line="276" w:lineRule="auto"/>
              <w:jc w:val="center"/>
            </w:pPr>
            <w:r>
              <w:rPr>
                <w:rFonts w:ascii="Calibri" w:hAnsi="Calibri" w:cs="Calibri"/>
                <w:b/>
                <w:noProof/>
                <w:color w:val="FFFFFF"/>
                <w:sz w:val="22"/>
                <w:szCs w:val="22"/>
              </w:rPr>
              <w:t xml:space="preserve">Medium</w:t>
            </w:r>
          </w:p>
        </w:tc>
        <w:tc>
          <w:tcPr>
            <w:tcW w:w="96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5.3</w:t>
            </w:r>
          </w:p>
        </w:tc>
        <w:tc>
          <w:tcPr>
            <w:tcW w:w="16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Open</w:t>
            </w:r>
          </w:p>
        </w:tc>
      </w:tr>
      <w:tr>
        <w:trPr>
          <w:cantSplit/>
          <w:trHeight w:val="300" w:hRule="atLeast"/>
        </w:trPr>
        <w:tc>
          <w:tcPr>
            <w:tcW w:w="10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AUR-05</w:t>
            </w:r>
          </w:p>
        </w:tc>
        <w:tc>
          <w:tcPr>
            <w:tcW w:w="42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Password policy permits 6-character passwords with no complexity or breach check</w:t>
            </w:r>
          </w:p>
        </w:tc>
        <w:tc>
          <w:tcPr>
            <w:tcW w:w="1560" w:type="dxa"/>
            <w:shd w:val="clear" w:color="auto" w:fill="E67E22"/>
            <w:tcMar>
              <w:top w:w="30" w:type="dxa"/>
              <w:left w:w="75" w:type="dxa"/>
              <w:bottom w:w="30" w:type="dxa"/>
              <w:right w:w="75" w:type="dxa"/>
            </w:tcMar>
            <w:vAlign w:val="top"/>
          </w:tcPr>
          <w:p>
            <w:pPr>
              <w:shd w:val="clear" w:color="auto" w:fill="E67E22"/>
              <w:spacing w:line="276" w:lineRule="auto"/>
              <w:jc w:val="center"/>
            </w:pPr>
            <w:r>
              <w:rPr>
                <w:rFonts w:ascii="Calibri" w:hAnsi="Calibri" w:cs="Calibri"/>
                <w:b/>
                <w:noProof/>
                <w:color w:val="FFFFFF"/>
                <w:sz w:val="22"/>
                <w:szCs w:val="22"/>
              </w:rPr>
              <w:t xml:space="preserve">Medium</w:t>
            </w:r>
          </w:p>
        </w:tc>
        <w:tc>
          <w:tcPr>
            <w:tcW w:w="96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4.8</w:t>
            </w:r>
          </w:p>
        </w:tc>
        <w:tc>
          <w:tcPr>
            <w:tcW w:w="16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Open</w:t>
            </w:r>
          </w:p>
        </w:tc>
      </w:tr>
      <w:tr>
        <w:trPr>
          <w:cantSplit/>
          <w:trHeight w:val="300" w:hRule="atLeast"/>
        </w:trPr>
        <w:tc>
          <w:tcPr>
            <w:tcW w:w="10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AUR-06</w:t>
            </w:r>
          </w:p>
        </w:tc>
        <w:tc>
          <w:tcPr>
            <w:tcW w:w="42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Missing Content-Security-Policy and X-Content-Type-Options headers</w:t>
            </w:r>
          </w:p>
        </w:tc>
        <w:tc>
          <w:tcPr>
            <w:tcW w:w="1560" w:type="dxa"/>
            <w:shd w:val="clear" w:color="auto" w:fill="F1C40F"/>
            <w:tcMar>
              <w:top w:w="30" w:type="dxa"/>
              <w:left w:w="75" w:type="dxa"/>
              <w:bottom w:w="30" w:type="dxa"/>
              <w:right w:w="75" w:type="dxa"/>
            </w:tcMar>
            <w:vAlign w:val="top"/>
          </w:tcPr>
          <w:p>
            <w:pPr>
              <w:shd w:val="clear" w:color="auto" w:fill="F1C40F"/>
              <w:spacing w:line="276" w:lineRule="auto"/>
              <w:jc w:val="center"/>
            </w:pPr>
            <w:r>
              <w:rPr>
                <w:rFonts w:ascii="Calibri" w:hAnsi="Calibri" w:cs="Calibri"/>
                <w:b/>
                <w:noProof/>
                <w:color w:val="000000"/>
                <w:sz w:val="22"/>
                <w:szCs w:val="22"/>
              </w:rPr>
              <w:t xml:space="preserve">Low</w:t>
            </w:r>
          </w:p>
        </w:tc>
        <w:tc>
          <w:tcPr>
            <w:tcW w:w="96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3.1</w:t>
            </w:r>
          </w:p>
        </w:tc>
        <w:tc>
          <w:tcPr>
            <w:tcW w:w="16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Open</w:t>
            </w:r>
          </w:p>
        </w:tc>
      </w:tr>
      <w:tr>
        <w:trPr>
          <w:cantSplit/>
          <w:trHeight w:val="300" w:hRule="atLeast"/>
        </w:trPr>
        <w:tc>
          <w:tcPr>
            <w:tcW w:w="10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AUR-07</w:t>
            </w:r>
          </w:p>
        </w:tc>
        <w:tc>
          <w:tcPr>
            <w:tcW w:w="42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Bundled lodash 4.17.15 carries known prototype-pollution advisory</w:t>
            </w:r>
          </w:p>
        </w:tc>
        <w:tc>
          <w:tcPr>
            <w:tcW w:w="1560" w:type="dxa"/>
            <w:shd w:val="clear" w:color="auto" w:fill="F1C40F"/>
            <w:tcMar>
              <w:top w:w="30" w:type="dxa"/>
              <w:left w:w="75" w:type="dxa"/>
              <w:bottom w:w="30" w:type="dxa"/>
              <w:right w:w="75" w:type="dxa"/>
            </w:tcMar>
            <w:vAlign w:val="top"/>
          </w:tcPr>
          <w:p>
            <w:pPr>
              <w:shd w:val="clear" w:color="auto" w:fill="F1C40F"/>
              <w:spacing w:line="276" w:lineRule="auto"/>
              <w:jc w:val="center"/>
            </w:pPr>
            <w:r>
              <w:rPr>
                <w:rFonts w:ascii="Calibri" w:hAnsi="Calibri" w:cs="Calibri"/>
                <w:b/>
                <w:noProof/>
                <w:color w:val="000000"/>
                <w:sz w:val="22"/>
                <w:szCs w:val="22"/>
              </w:rPr>
              <w:t xml:space="preserve">Low</w:t>
            </w:r>
          </w:p>
        </w:tc>
        <w:tc>
          <w:tcPr>
            <w:tcW w:w="960" w:type="dxa"/>
            <w:tcMar>
              <w:top w:w="30" w:type="dxa"/>
              <w:left w:w="75" w:type="dxa"/>
              <w:bottom w:w="30" w:type="dxa"/>
              <w:right w:w="75" w:type="dxa"/>
            </w:tcMar>
            <w:vAlign w:val="top"/>
          </w:tcPr>
          <w:p>
            <w:pPr>
              <w:spacing w:line="276" w:lineRule="auto"/>
              <w:jc w:val="center"/>
            </w:pPr>
            <w:r>
              <w:rPr>
                <w:rFonts w:ascii="Calibri" w:hAnsi="Calibri" w:cs="Calibri"/>
                <w:noProof/>
                <w:color w:val="000000"/>
                <w:sz w:val="22"/>
                <w:szCs w:val="22"/>
              </w:rPr>
              <w:t xml:space="preserve">2.6</w:t>
            </w:r>
          </w:p>
        </w:tc>
        <w:tc>
          <w:tcPr>
            <w:tcW w:w="16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Open</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6. AUR-01 — Insecure direct object reference (Critical)</w:t>
      </w:r>
    </w:p>
    <w:p>
      <w:pPr>
        <w:spacing w:line="276" w:lineRule="auto"/>
        <w:jc w:val="left"/>
      </w:pPr>
      <w:r>
        <w:rPr>
          <w:rFonts w:ascii="Calibri" w:hAnsi="Calibri" w:cs="Calibri"/>
          <w:b/>
          <w:noProof/>
          <w:color w:val="000000"/>
          <w:sz w:val="22"/>
          <w:szCs w:val="22"/>
        </w:rPr>
        <w:t xml:space="preserve">CVSS v3.1: </w:t>
      </w:r>
      <w:r>
        <w:rPr>
          <w:rFonts w:ascii="Calibri" w:hAnsi="Calibri" w:cs="Calibri"/>
          <w:noProof/>
          <w:color w:val="000000"/>
          <w:sz w:val="22"/>
          <w:szCs w:val="22"/>
        </w:rPr>
        <w:t xml:space="preserve">9.1 (AV:N/AC:L/PR:L/UI:N/S:C/C:H/I:N/A:N)</w:t>
      </w:r>
    </w:p>
    <w:p>
      <w:pPr>
        <w:pStyle w:val="Heading3"/>
        <w:keepNext/>
        <w:keepLines/>
        <w:spacing w:line="276" w:lineRule="auto"/>
        <w:jc w:val="left"/>
        <w:outlineLvl w:val="2"/>
      </w:pPr>
      <w:r>
        <w:rPr>
          <w:rFonts w:ascii="Calibri" w:hAnsi="Calibri" w:cs="Calibri"/>
          <w:noProof/>
          <w:color w:val="000000"/>
          <w:sz w:val="32"/>
          <w:szCs w:val="32"/>
        </w:rPr>
        <w:t xml:space="preserve">6.1 Description</w:t>
      </w:r>
    </w:p>
    <w:p>
      <w:pPr>
        <w:spacing w:line="276" w:lineRule="auto"/>
        <w:jc w:val="left"/>
      </w:pPr>
      <w:r>
        <w:rPr>
          <w:rFonts w:ascii="Calibri" w:hAnsi="Calibri" w:cs="Calibri"/>
          <w:noProof/>
          <w:color w:val="000000"/>
          <w:sz w:val="22"/>
          <w:szCs w:val="22"/>
        </w:rPr>
        <w:t xml:space="preserve">The endpoint GET /v2/orders/{order_id} returns the full order object for any numeric order_id without verifying that the authenticated session owns the order. order_id values are sequential integers, so an attacker with a single valid account can enumerate all orders on the platform. During testing we retrieved 50 order records belonging to other test accounts, each containing shipping address, line items, and the payment metadata described in AUR-02.</w:t>
      </w:r>
    </w:p>
    <w:p>
      <w:pPr>
        <w:pStyle w:val="Heading3"/>
        <w:keepNext/>
        <w:keepLines/>
        <w:spacing w:line="276" w:lineRule="auto"/>
        <w:jc w:val="left"/>
        <w:outlineLvl w:val="2"/>
      </w:pPr>
      <w:r>
        <w:rPr>
          <w:rFonts w:ascii="Calibri" w:hAnsi="Calibri" w:cs="Calibri"/>
          <w:noProof/>
          <w:color w:val="000000"/>
          <w:sz w:val="32"/>
          <w:szCs w:val="32"/>
        </w:rPr>
        <w:t xml:space="preserve">6.2 Proof of concept</w:t>
      </w:r>
    </w:p>
    <w:p>
      <w:pPr>
        <w:pStyle w:val="CodeBlock"/>
        <w:pBdr>
          <w:top w:val="single" w:sz="8" w:space="0" w:color="000000"/>
          <w:left w:val="single" w:sz="8" w:space="0" w:color="000000"/>
          <w:right w:val="single" w:sz="8" w:space="0" w:color="000000"/>
        </w:pBdr>
        <w:shd w:val="clear" w:color="auto" w:fill="F5F5F5"/>
        <w:spacing w:before="80" w:after="0" w:line="240" w:lineRule="auto"/>
        <w:ind w:left="240" w:right="240"/>
        <w:jc w:val="left"/>
      </w:pPr>
      <w:r>
        <w:rPr>
          <w:rFonts w:ascii="Consolas" w:hAnsi="Consolas" w:cs="Consolas"/>
          <w:noProof/>
          <w:color w:val="000000"/>
          <w:sz w:val="20"/>
          <w:szCs w:val="20"/>
          <w:shd w:val="clear" w:color="auto" w:fill="F5F5F5"/>
        </w:rPr>
        <w:t xml:space="preserve">GET /v2/orders/100412 HTTP/1.1</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Host: api.auroracommerce.com</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Authorization: Bearer eyJhbGciOiJIUzI1NiIsInR5cCI6IkpXVCJ9...</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Accept: application/json</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HTTP/1.1 200 OK</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Content-Type: application/json</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  "order_id": 100412,</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  "customer_email": "redacted@example.com",</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  "ship_to": { "name": "J. Okonkwo", "zip": "94107" },</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  "payment": { "brand": "visa", "last4": "4242" },</w:t>
      </w:r>
    </w:p>
    <w:p>
      <w:pPr>
        <w:pStyle w:val="CodeBlock"/>
        <w:pBdr>
          <w:left w:val="single" w:sz="8" w:space="0" w:color="000000"/>
          <w:right w:val="single" w:sz="8" w:space="0" w:color="000000"/>
        </w:pBdr>
        <w:shd w:val="clear" w:color="auto" w:fill="F5F5F5"/>
        <w:spacing w:before="0" w:after="0" w:line="240" w:lineRule="auto"/>
        <w:ind w:left="240" w:right="240"/>
        <w:jc w:val="left"/>
      </w:pPr>
      <w:r>
        <w:rPr>
          <w:rFonts w:ascii="Consolas" w:hAnsi="Consolas" w:cs="Consolas"/>
          <w:noProof/>
          <w:color w:val="000000"/>
          <w:sz w:val="20"/>
          <w:szCs w:val="20"/>
          <w:shd w:val="clear" w:color="auto" w:fill="F5F5F5"/>
        </w:rPr>
        <w:t xml:space="preserve">  "total_cents": 15980</w:t>
      </w:r>
    </w:p>
    <w:p>
      <w:pPr>
        <w:pStyle w:val="CodeBlock"/>
        <w:pBdr>
          <w:left w:val="single" w:sz="8" w:space="0" w:color="000000"/>
          <w:bottom w:val="single" w:sz="8" w:space="0" w:color="000000"/>
          <w:right w:val="single" w:sz="8" w:space="0" w:color="000000"/>
        </w:pBdr>
        <w:shd w:val="clear" w:color="auto" w:fill="F5F5F5"/>
        <w:spacing w:before="0" w:after="80" w:line="240" w:lineRule="auto"/>
        <w:ind w:left="240" w:right="240"/>
        <w:jc w:val="left"/>
      </w:pPr>
      <w:r>
        <w:rPr>
          <w:rFonts w:ascii="Consolas" w:hAnsi="Consolas" w:cs="Consolas"/>
          <w:noProof/>
          <w:color w:val="000000"/>
          <w:sz w:val="20"/>
          <w:szCs w:val="20"/>
          <w:shd w:val="clear" w:color="auto" w:fill="F5F5F5"/>
        </w:rPr>
        <w:t xml:space="preserve">}</w:t>
      </w:r>
    </w:p>
    <w:p>
      <w:pPr>
        <w:pStyle w:val="Heading3"/>
        <w:keepNext/>
        <w:keepLines/>
        <w:spacing w:line="276" w:lineRule="auto"/>
        <w:jc w:val="left"/>
        <w:outlineLvl w:val="2"/>
      </w:pPr>
      <w:r>
        <w:rPr>
          <w:rFonts w:ascii="Calibri" w:hAnsi="Calibri" w:cs="Calibri"/>
          <w:noProof/>
          <w:color w:val="000000"/>
          <w:sz w:val="32"/>
          <w:szCs w:val="32"/>
        </w:rPr>
        <w:t xml:space="preserve">6.3 Remediation</w:t>
      </w:r>
    </w:p>
    <w:p>
      <w:pPr>
        <w:pStyle w:val="ListParagraph"/>
        <w:numPr>
          <w:ilvl w:val="0"/>
          <w:numId w:val="2"/>
        </w:numPr>
        <w:spacing w:line="276" w:lineRule="auto"/>
        <w:jc w:val="left"/>
      </w:pPr>
      <w:r>
        <w:rPr>
          <w:rFonts w:ascii="Calibri" w:hAnsi="Calibri" w:cs="Calibri"/>
          <w:noProof/>
          <w:color w:val="000000"/>
          <w:sz w:val="22"/>
          <w:szCs w:val="22"/>
        </w:rPr>
        <w:t xml:space="preserve">Enforce an ownership check on every order lookup: the authenticated subject must match order.customer_id or hold an admin role.</w:t>
      </w:r>
    </w:p>
    <w:p>
      <w:pPr>
        <w:pStyle w:val="ListParagraph"/>
        <w:numPr>
          <w:ilvl w:val="0"/>
          <w:numId w:val="2"/>
        </w:numPr>
        <w:spacing w:line="276" w:lineRule="auto"/>
        <w:jc w:val="left"/>
      </w:pPr>
      <w:r>
        <w:rPr>
          <w:rFonts w:ascii="Calibri" w:hAnsi="Calibri" w:cs="Calibri"/>
          <w:noProof/>
          <w:color w:val="000000"/>
          <w:sz w:val="22"/>
          <w:szCs w:val="22"/>
        </w:rPr>
        <w:t xml:space="preserve">Replace sequential integer order identifiers with unguessable UUIDs to reduce enumeration value.</w:t>
      </w:r>
    </w:p>
    <w:p>
      <w:pPr>
        <w:pStyle w:val="ListParagraph"/>
        <w:numPr>
          <w:ilvl w:val="0"/>
          <w:numId w:val="2"/>
        </w:numPr>
        <w:spacing w:line="276" w:lineRule="auto"/>
        <w:jc w:val="left"/>
      </w:pPr>
      <w:r>
        <w:rPr>
          <w:rFonts w:ascii="Calibri" w:hAnsi="Calibri" w:cs="Calibri"/>
          <w:noProof/>
          <w:color w:val="000000"/>
          <w:sz w:val="22"/>
          <w:szCs w:val="22"/>
        </w:rPr>
        <w:t xml:space="preserve">Add server-side audit logging and anomaly alerting for high-volume order lookups from a single session.</w:t>
      </w:r>
    </w:p>
    <w:p>
      <w:pPr>
        <w:pStyle w:val="Heading2"/>
        <w:keepNext/>
        <w:keepLines/>
        <w:spacing w:line="276" w:lineRule="auto"/>
        <w:jc w:val="left"/>
        <w:outlineLvl w:val="1"/>
      </w:pPr>
      <w:r>
        <w:rPr>
          <w:rFonts w:ascii="Calibri" w:hAnsi="Calibri" w:cs="Calibri"/>
          <w:noProof/>
          <w:color w:val="000000"/>
          <w:sz w:val="40"/>
          <w:szCs w:val="40"/>
        </w:rPr>
        <w:t xml:space="preserve">7. Retest and disclosure</w:t>
      </w:r>
    </w:p>
    <w:p>
      <w:pPr>
        <w:spacing w:line="276" w:lineRule="auto"/>
        <w:jc w:val="left"/>
      </w:pPr>
      <w:r>
        <w:rPr>
          <w:rFonts w:ascii="Calibri" w:hAnsi="Calibri" w:cs="Calibri"/>
          <w:noProof/>
          <w:color w:val="000000"/>
          <w:sz w:val="22"/>
          <w:szCs w:val="22"/>
        </w:rPr>
        <w:t xml:space="preserve">Halcyon Security offers one complimentary retest of all findings within 90 days of report delivery. Findings and this report are confidential to Aurora Commerce and must not be redistributed to third parties without written consent. Halcyon will retain engagement artefacts for 90 days, after which they are securely destroyed.</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w="http://schemas.openxmlformats.org/wordprocessingml/2006/main">
  <w:font w:name="Arial"/>
  <w:font w:name="Calibri"/>
  <w:font w:name="Calibri Light"/>
  <w:font w:name="Cambria"/>
  <w:font w:name="Consolas"/>
  <w:font w:name="Symbol"/>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rPr>
        <w:rFonts w:ascii="Calibri" w:hAnsi="Calibri" w:cs="Calibri"/>
        <w:noProof/>
        <w:color w:val="000000"/>
        <w:sz w:val="22"/>
        <w:szCs w:val="22"/>
      </w:rPr>
      <w:t xml:space="preserve">Halcyon Security — CONFIDENTIAL — Aurora Web Platform Assessment (ENG-2026-0412)</w:t>
    </w:r>
  </w:p>
</w:hdr>
</file>

<file path=word/numbering.xml><?xml version="1.0" encoding="utf-8"?>
<w:numbering xmlns:w="http://schemas.openxmlformats.org/wordprocessingml/2006/main">
  <w:abstractNum w:abstractNumId="1">
    <w:nsid w:val="A2FAF431"/>
    <w:multiLevelType w:val="hybridMultilevel"/>
    <w:tmpl w:val="A1FAF29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nsid w:val="A0FAF10B"/>
    <w:multiLevelType w:val="hybridMultilevel"/>
    <w:tmpl w:val="9FFAEF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mc:Ignorable="w14 w15">
  <w:zoom w:percent="100"/>
  <w:defaultTabStop w:val="720"/>
  <w:characterSpacingControl w:val="doNotCompress"/>
  <w:updateFields w:val="true"/>
  <w:compat>
    <w:compatSetting w:name="compatibilityMode" w:uri="http://schemas.microsoft.com/office/word" w:val="15"/>
  </w:compat>
  <w:rsids>
    <w:rsidRoot w:val="CF3C7919"/>
    <w:rsid w:val="7CA975AC"/>
    <w:rsid w:val="7DA9773F"/>
  </w:rsids>
</w:settings>
</file>

<file path=word/styles.xml><?xml version="1.0" encoding="utf-8"?>
<w:styles xmlns:w="http://schemas.openxmlformats.org/wordprocessingml/2006/main" xmlns:w14="http://schemas.microsoft.com/office/word/2010/wordml">
  <w:docDefaults>
    <w:rPrDefault>
      <w:rPr>
        <w:rFonts w:ascii="Calibri" w:hAnsi="Calibri" w:cs="Calibri"/>
        <w:sz w:val="22"/>
        <w:szCs w:val="22"/>
        <w:lang w:val="en-US" w:eastAsia="en-US" w:bidi="ar-SA"/>
      </w:rPr>
    </w:rPrDefault>
    <w:pPrDefault>
      <w:pPr>
        <w:spacing w:after="160" w:line="276" w:lineRule="auto"/>
      </w:pPr>
    </w:pPrDefault>
  </w:docDefaults>
  <w:latentStyles w:defLockedState="0" w:defUIPriority="99" w:defSemiHidden="0" w:defUnhideWhenUsed="0" w:defQFormat="0" w:count="376"/>
  <w:style w:type="paragraph" w:styleId="Normal" w:default="1">
    <w:name w:val="Normal"/>
    <w:qFormat/>
    <w:pPr>
      <w:spacing w:after="160" w:line="276" w:lineRule="auto"/>
    </w:pPr>
    <w:rPr>
      <w:rFonts w:ascii="Calibri" w:hAnsi="Calibri" w:cs="Calibri"/>
      <w:sz w:val="22"/>
      <w:szCs w:val="22"/>
    </w:rPr>
  </w:style>
  <w:style w:type="paragraph" w:styleId="Title">
    <w:name w:val="Title"/>
    <w:basedOn w:val="Normal"/>
    <w:qFormat/>
    <w:pPr>
      <w:spacing w:before="240" w:after="160"/>
    </w:pPr>
    <w:rPr>
      <w:rFonts w:ascii="Calibri Light" w:hAnsi="Calibri Light" w:cs="Calibri Light"/>
      <w:color w:val="1F4E79"/>
      <w:sz w:val="44"/>
      <w:szCs w:val="44"/>
    </w:rPr>
  </w:style>
  <w:style w:type="paragraph" w:styleId="Subtitle">
    <w:name w:val="Subtitle"/>
    <w:basedOn w:val="Normal"/>
    <w:qFormat/>
    <w:pPr>
      <w:spacing w:after="120"/>
    </w:pPr>
    <w:rPr>
      <w:rFonts w:ascii="Calibri" w:hAnsi="Calibri" w:cs="Calibri"/>
      <w:color w:val="5B5B5B"/>
      <w:sz w:val="28"/>
      <w:szCs w:val="28"/>
    </w:rPr>
  </w:style>
  <w:style w:type="paragraph" w:styleId="Heading1">
    <w:name w:val="heading 1"/>
    <w:basedOn w:val="Normal"/>
    <w:next w:val="Normal"/>
    <w:qFormat/>
    <w:pPr>
      <w:keepNext/>
      <w:keepLines/>
      <w:spacing w:before="240" w:after="80"/>
      <w:outlineLvl w:val="0"/>
    </w:pPr>
    <w:rPr>
      <w:rFonts w:ascii="Calibri Light" w:hAnsi="Calibri Light" w:cs="Calibri Light"/>
      <w:b/>
      <w:color w:val="2F5597"/>
      <w:sz w:val="36"/>
      <w:szCs w:val="36"/>
    </w:rPr>
  </w:style>
  <w:style w:type="paragraph" w:styleId="Heading2">
    <w:name w:val="heading 2"/>
    <w:basedOn w:val="Normal"/>
    <w:next w:val="Normal"/>
    <w:qFormat/>
    <w:pPr>
      <w:keepNext/>
      <w:keepLines/>
      <w:spacing w:before="180" w:after="60"/>
      <w:outlineLvl w:val="1"/>
    </w:pPr>
    <w:rPr>
      <w:rFonts w:ascii="Calibri Light" w:hAnsi="Calibri Light" w:cs="Calibri Light"/>
      <w:b/>
      <w:color w:val="2F5597"/>
      <w:sz w:val="32"/>
      <w:szCs w:val="32"/>
    </w:rPr>
  </w:style>
  <w:style w:type="paragraph" w:styleId="Heading3">
    <w:name w:val="heading 3"/>
    <w:basedOn w:val="Normal"/>
    <w:next w:val="Normal"/>
    <w:qFormat/>
    <w:pPr>
      <w:keepNext/>
      <w:keepLines/>
      <w:spacing w:before="140" w:after="40"/>
      <w:outlineLvl w:val="2"/>
    </w:pPr>
    <w:rPr>
      <w:rFonts w:ascii="Calibri" w:hAnsi="Calibri" w:cs="Calibri"/>
      <w:b/>
      <w:color w:val="1F3763"/>
      <w:sz w:val="28"/>
      <w:szCs w:val="28"/>
    </w:rPr>
  </w:style>
  <w:style w:type="paragraph" w:styleId="Heading4">
    <w:name w:val="heading 4"/>
    <w:basedOn w:val="Normal"/>
    <w:next w:val="Normal"/>
    <w:qFormat/>
    <w:pPr>
      <w:keepNext/>
      <w:keepLines/>
      <w:spacing w:before="120" w:after="20"/>
      <w:outlineLvl w:val="3"/>
    </w:pPr>
    <w:rPr>
      <w:rFonts w:ascii="Calibri" w:hAnsi="Calibri" w:cs="Calibri"/>
      <w:b/>
      <w:color w:val="1F3763"/>
      <w:sz w:val="26"/>
      <w:szCs w:val="26"/>
    </w:rPr>
  </w:style>
  <w:style w:type="paragraph" w:styleId="Heading5">
    <w:name w:val="heading 5"/>
    <w:basedOn w:val="Normal"/>
    <w:next w:val="Normal"/>
    <w:qFormat/>
    <w:pPr>
      <w:keepNext/>
      <w:keepLines/>
      <w:spacing w:before="120" w:after="20"/>
      <w:outlineLvl w:val="4"/>
    </w:pPr>
    <w:rPr>
      <w:rFonts w:ascii="Calibri" w:hAnsi="Calibri" w:cs="Calibri"/>
      <w:b/>
      <w:color w:val="1F3763"/>
      <w:sz w:val="24"/>
      <w:szCs w:val="24"/>
    </w:rPr>
  </w:style>
  <w:style w:type="paragraph" w:styleId="Heading6">
    <w:name w:val="heading 6"/>
    <w:basedOn w:val="Normal"/>
    <w:next w:val="Normal"/>
    <w:qFormat/>
    <w:pPr>
      <w:keepNext/>
      <w:keepLines/>
      <w:spacing w:before="120" w:after="20"/>
      <w:outlineLvl w:val="5"/>
    </w:pPr>
    <w:rPr>
      <w:rFonts w:ascii="Calibri" w:hAnsi="Calibri" w:cs="Calibri"/>
      <w:b/>
      <w:color w:val="1F3763"/>
      <w:sz w:val="22"/>
      <w:szCs w:val="22"/>
    </w:rPr>
  </w:style>
  <w:style w:type="paragraph" w:styleId="CodeBlock">
    <w:name w:val="Code Block"/>
    <w:basedOn w:val="Normal"/>
    <w:qFormat/>
    <w:pPr>
      <w:spacing w:before="80" w:after="80" w:line="240" w:lineRule="auto"/>
    </w:pPr>
    <w:rPr>
      <w:rFonts w:ascii="Consolas" w:hAnsi="Consolas" w:cs="Consolas"/>
      <w:noProof/>
      <w:sz w:val="20"/>
      <w:szCs w:val="20"/>
    </w:rPr>
  </w:style>
  <w:style w:type="paragraph" w:styleId="Divider">
    <w:name w:val="Divider"/>
    <w:basedOn w:val="Normal"/>
    <w:qFormat/>
    <w:pPr>
      <w:spacing w:before="80" w:after="80"/>
    </w:pPr>
  </w:style>
  <w:style w:type="paragraph" w:styleId="ListParagraph">
    <w:name w:val="List Paragraph"/>
    <w:basedOn w:val="Normal"/>
    <w:qFormat/>
    <w:pPr>
      <w:ind w:left="720" w:hanging="360"/>
      <w:contextualSpacing/>
    </w:pPr>
  </w:style>
  <w:style w:type="paragraph" w:styleId="NoSpacing">
    <w:name w:val="No Spacing"/>
    <w:basedOn w:val="Normal"/>
    <w:qFormat/>
  </w:style>
  <w:style w:type="paragraph" w:styleId="Quote">
    <w:name w:val="Quote"/>
    <w:basedOn w:val="Normal"/>
    <w:qFormat/>
    <w:pPr>
      <w:spacing w:before="120" w:after="120"/>
    </w:pPr>
    <w:rPr>
      <w:i/>
      <w:color w:val="666666"/>
    </w:rPr>
  </w:style>
  <w:style w:type="paragraph" w:styleId="IntenseQuote">
    <w:name w:val="Intense Quote"/>
    <w:basedOn w:val="Quote"/>
    <w:qFormat/>
    <w:pPr>
      <w:spacing w:before="160" w:after="160"/>
    </w:pPr>
    <w:rPr>
      <w:i/>
      <w:color w:val="2F5597"/>
    </w:rPr>
  </w:style>
  <w:style w:type="paragraph" w:styleId="Header">
    <w:name w:val="Header"/>
    <w:basedOn w:val="Normal"/>
    <w:qFormat/>
    <w:pPr>
      <w:jc w:val="right"/>
    </w:pPr>
    <w:rPr>
      <w:color w:val="666666"/>
      <w:sz w:val="20"/>
      <w:szCs w:val="20"/>
    </w:rPr>
  </w:style>
  <w:style w:type="paragraph" w:styleId="Footer">
    <w:name w:val="Footer"/>
    <w:basedOn w:val="Normal"/>
    <w:qFormat/>
    <w:pPr>
      <w:jc w:val="center"/>
    </w:pPr>
    <w:rPr>
      <w:color w:val="666666"/>
      <w:sz w:val="20"/>
      <w:szCs w:val="20"/>
    </w:rPr>
  </w:style>
  <w:style w:type="character" w:styleId="DefaultParagraphFont">
    <w:name w:val="Default Paragraph Font"/>
  </w:style>
  <w:style w:type="character" w:styleId="Hyperlink">
    <w:name w:val="Hyperlink"/>
    <w:rPr>
      <w:color w:val="0563C1"/>
      <w:u w:val="single"/>
    </w:rPr>
  </w:style>
  <w:style w:type="character" w:styleId="Strong">
    <w:name w:val="Strong"/>
    <w:rPr>
      <w:b/>
    </w:rPr>
  </w:style>
  <w:style w:type="character" w:styleId="Emphasis">
    <w:name w:val="Emphasis"/>
    <w:rPr>
      <w:i/>
    </w:rPr>
  </w:style>
  <w:style w:type="character" w:styleId="Code">
    <w:name w:val="Code"/>
    <w:rPr>
      <w:rFonts w:ascii="Consolas" w:hAnsi="Consolas" w:cs="Consolas"/>
      <w:noProof/>
      <w:sz w:val="20"/>
      <w:szCs w:val="20"/>
    </w:rPr>
  </w:style>
  <w:style w:type="paragraph" w:styleId="FootnoteText">
    <w:name w:val="footnote text"/>
    <w:basedOn w:val="Normal"/>
    <w:qFormat/>
    <w:rPr>
      <w:sz w:val="20"/>
      <w:szCs w:val="20"/>
    </w:rPr>
  </w:style>
  <w:style w:type="character" w:styleId="FootnoteReference">
    <w:name w:val="footnote reference"/>
    <w:rPr>
      <w:vertAlign w:val="superscript"/>
    </w:rPr>
  </w:style>
  <w:style w:type="paragraph" w:styleId="EndnoteText">
    <w:name w:val="endnote text"/>
    <w:basedOn w:val="Normal"/>
    <w:qFormat/>
    <w:rPr>
      <w:sz w:val="20"/>
      <w:szCs w:val="20"/>
    </w:rPr>
  </w:style>
  <w:style w:type="character" w:styleId="EndnoteReference">
    <w:name w:val="endnote reference"/>
    <w:rPr>
      <w:vertAlign w:val="superscript"/>
    </w:rPr>
  </w:style>
  <w:style w:type="paragraph" w:styleId="CommentText">
    <w:name w:val="comment text"/>
    <w:basedOn w:val="Normal"/>
    <w:qFormat/>
    <w:rPr>
      <w:sz w:val="20"/>
      <w:szCs w:val="20"/>
    </w:rPr>
  </w:style>
  <w:style w:type="character" w:styleId="CommentReference">
    <w:name w:val="comment reference"/>
    <w:rPr>
      <w:sz w:val="16"/>
      <w:szCs w:val="16"/>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s>
</file>

<file path=word/theme/theme1.xml><?xml version="1.0" encoding="utf-8"?>
<a:theme xmlns:a="http://schemas.openxmlformats.org/drawingml/2006/main" name="PaperJSX Theme">
  <a:themeElements>
    <a:clrScheme name="PaperJSX Colors">
      <a:dk1>
        <a:srgbClr val="000000"/>
      </a:dk1>
      <a:lt1>
        <a:srgbClr val="FFFFFF"/>
      </a:lt1>
      <a:dk2>
        <a:srgbClr val="1F1F1F"/>
      </a:dk2>
      <a:lt2>
        <a:srgbClr val="F5F5F5"/>
      </a:lt2>
      <a:accent1>
        <a:srgbClr val="2F5597"/>
      </a:accent1>
      <a:accent2>
        <a:srgbClr val="5B9BD5"/>
      </a:accent2>
      <a:accent3>
        <a:srgbClr val="70AD47"/>
      </a:accent3>
      <a:accent4>
        <a:srgbClr val="FFC000"/>
      </a:accent4>
      <a:accent5>
        <a:srgbClr val="4472C4"/>
      </a:accent5>
      <a:accent6>
        <a:srgbClr val="C00000"/>
      </a:accent6>
      <a:hlink>
        <a:srgbClr val="0563C1"/>
      </a:hlink>
      <a:folHlink>
        <a:srgbClr val="954F72"/>
      </a:folHlink>
    </a:clrScheme>
    <a:fontScheme name="PaperJSX Fonts">
      <a:majorFont>
        <a:latin typeface="Cambria"/>
        <a:ea typeface=""/>
        <a:cs typeface=""/>
      </a:majorFont>
      <a:minorFont>
        <a:latin typeface="Calibri"/>
        <a:ea typeface=""/>
        <a:cs typeface=""/>
      </a:minorFont>
    </a:fontScheme>
    <a:fmtScheme name="PaperJSX Form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chemeClr>
            </a:gs>
            <a:gs pos="50000">
              <a:schemeClr val="phClr">
                <a:tint val="98000"/>
                <a:satMod val="130000"/>
              </a:schemeClr>
            </a:gs>
            <a:gs pos="100000">
              <a:schemeClr val="phClr">
                <a:shade val="63000"/>
                <a:satMod val="120000"/>
              </a:schemeClr>
            </a:gs>
          </a:gsLst>
          <a:path path="circle">
            <a:fillToRect l="50000" t="-80000" r="50000" b="18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PaperJSX</Application>
  <DocSecurity>0</DocSecurity>
  <ScaleCrop>false</ScaleCrop>
  <Company>PaperJSX</Company>
  <LinksUpToDate>false</LinksUpToDate>
  <SharedDoc>false</SharedDoc>
  <HyperlinksChanged>false</HyperlinksChanged>
  <AppVersion>16.0000</AppVersion>
  <Pages>1</Pages>
  <Words>0</Words>
  <Characters>0</Character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Penetration Test — Aurora Web Platform</dc:title>
  <dc:subject>Penetration test report</dc:subject>
  <dc:creator>@paperjsx/json-to-docx</dc:creator>
  <cp:keywords/>
  <dc:description/>
  <cp:lastModifiedBy>Halcyon Security — Offensive Services</cp:lastModifiedBy>
  <dcterms:created xsi:type="dcterms:W3CDTF">2026-04-10T00:00:00.000Z</dcterms:created>
  <dcterms:modified xsi:type="dcterms:W3CDTF">2026-04-10T00:00:00.000Z</dcterms:modified>
</cp:coreProperties>
</file>