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body>
    <w:p>
      <w:pPr>
        <w:pStyle w:val="Heading1"/>
        <w:keepNext/>
        <w:keepLines/>
        <w:spacing w:line="276" w:lineRule="auto"/>
        <w:jc w:val="center"/>
        <w:outlineLvl w:val="0"/>
      </w:pPr>
      <w:r>
        <w:rPr>
          <w:rFonts w:ascii="Calibri" w:hAnsi="Calibri" w:cs="Calibri"/>
          <w:noProof/>
          <w:color w:val="000000"/>
          <w:sz w:val="48"/>
          <w:szCs w:val="48"/>
        </w:rPr>
        <w:t xml:space="preserve">STATEMENT OF WORK NO. 3</w:t>
      </w:r>
    </w:p>
    <w:p>
      <w:pPr>
        <w:spacing w:line="276" w:lineRule="auto"/>
        <w:jc w:val="center"/>
      </w:pPr>
      <w:r>
        <w:rPr>
          <w:rFonts w:ascii="Calibri" w:hAnsi="Calibri" w:cs="Calibri"/>
          <w:i/>
          <w:noProof/>
          <w:color w:val="000000"/>
          <w:sz w:val="22"/>
          <w:szCs w:val="22"/>
        </w:rPr>
        <w:t xml:space="preserve">ERP Data Migration and Cutover Support — Project Kestrel</w:t>
      </w:r>
    </w:p>
    <w:p>
      <w:pPr>
        <w:spacing w:line="276" w:lineRule="auto"/>
        <w:jc w:val="both"/>
      </w:pPr>
      <w:r>
        <w:rPr>
          <w:rFonts w:ascii="Calibri" w:hAnsi="Calibri" w:cs="Calibri"/>
          <w:noProof/>
          <w:color w:val="000000"/>
          <w:sz w:val="22"/>
          <w:szCs w:val="22"/>
        </w:rPr>
        <w:t xml:space="preserve">This Statement of Work No. 3 (this "</w:t>
      </w:r>
      <w:r>
        <w:rPr>
          <w:rFonts w:ascii="Calibri" w:hAnsi="Calibri" w:cs="Calibri"/>
          <w:b/>
          <w:noProof/>
          <w:color w:val="000000"/>
          <w:sz w:val="22"/>
          <w:szCs w:val="22"/>
        </w:rPr>
        <w:t xml:space="preserve">SOW</w:t>
      </w:r>
      <w:r>
        <w:rPr>
          <w:rFonts w:ascii="Calibri" w:hAnsi="Calibri" w:cs="Calibri"/>
          <w:noProof/>
          <w:color w:val="000000"/>
          <w:sz w:val="22"/>
          <w:szCs w:val="22"/>
        </w:rPr>
        <w:t xml:space="preserve">") is entered into as of May 4, 2026 by Bramwell &amp; Cho Advisory LLP ("</w:t>
      </w:r>
      <w:r>
        <w:rPr>
          <w:rFonts w:ascii="Calibri" w:hAnsi="Calibri" w:cs="Calibri"/>
          <w:b/>
          <w:noProof/>
          <w:color w:val="000000"/>
          <w:sz w:val="22"/>
          <w:szCs w:val="22"/>
        </w:rPr>
        <w:t xml:space="preserve">Consultant</w:t>
      </w:r>
      <w:r>
        <w:rPr>
          <w:rFonts w:ascii="Calibri" w:hAnsi="Calibri" w:cs="Calibri"/>
          <w:noProof/>
          <w:color w:val="000000"/>
          <w:sz w:val="22"/>
          <w:szCs w:val="22"/>
        </w:rPr>
        <w:t xml:space="preserve">") and Pinewood Beverage Company, Inc. ("</w:t>
      </w:r>
      <w:r>
        <w:rPr>
          <w:rFonts w:ascii="Calibri" w:hAnsi="Calibri" w:cs="Calibri"/>
          <w:b/>
          <w:noProof/>
          <w:color w:val="000000"/>
          <w:sz w:val="22"/>
          <w:szCs w:val="22"/>
        </w:rPr>
        <w:t xml:space="preserve">Client</w:t>
      </w:r>
      <w:r>
        <w:rPr>
          <w:rFonts w:ascii="Calibri" w:hAnsi="Calibri" w:cs="Calibri"/>
          <w:noProof/>
          <w:color w:val="000000"/>
          <w:sz w:val="22"/>
          <w:szCs w:val="22"/>
        </w:rPr>
        <w:t xml:space="preserve">") under and subject to the Master Consulting Agreement between the parties dated September 11, 2024 (the "</w:t>
      </w:r>
      <w:r>
        <w:rPr>
          <w:rFonts w:ascii="Calibri" w:hAnsi="Calibri" w:cs="Calibri"/>
          <w:b/>
          <w:noProof/>
          <w:color w:val="000000"/>
          <w:sz w:val="22"/>
          <w:szCs w:val="22"/>
        </w:rPr>
        <w:t xml:space="preserve">MCA</w:t>
      </w:r>
      <w:r>
        <w:rPr>
          <w:rFonts w:ascii="Calibri" w:hAnsi="Calibri" w:cs="Calibri"/>
          <w:noProof/>
          <w:color w:val="000000"/>
          <w:sz w:val="22"/>
          <w:szCs w:val="22"/>
        </w:rPr>
        <w:t xml:space="preserve">"). Capitalized terms not defined in this SOW have the meanings given in the MCA. In the event of conflict, the MCA controls unless this SOW expressly amends it by section reference.</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108" w:type="dxa"/>
          <w:bottom w:w="72" w:type="dxa"/>
          <w:right w:w="108" w:type="dxa"/>
        </w:tblCellMar>
        <w:tblCaption w:val="Engagement summary"/>
      </w:tblPr>
      <w:tblGrid>
        <w:gridCol w:w="2800"/>
        <w:gridCol w:w="6560"/>
      </w:tblGrid>
      <w:tr>
        <w:trPr>
          <w:cantSplit/>
          <w:trHeight w:val="300" w:hRule="atLeast"/>
        </w:trPr>
        <w:tc>
          <w:tcPr>
            <w:tcW w:w="2800"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b/>
                <w:noProof/>
                <w:color w:val="000000"/>
                <w:sz w:val="22"/>
                <w:szCs w:val="22"/>
              </w:rPr>
              <w:t xml:space="preserve">Engagement name</w:t>
            </w:r>
          </w:p>
        </w:tc>
        <w:tc>
          <w:tcPr>
            <w:tcW w:w="6560"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Project Kestrel — SAP ECC 6.0 to S/4HANA data migration and cutover support</w:t>
            </w:r>
          </w:p>
        </w:tc>
      </w:tr>
      <w:tr>
        <w:trPr>
          <w:cantSplit/>
          <w:trHeight w:val="300" w:hRule="atLeast"/>
        </w:trPr>
        <w:tc>
          <w:tcPr>
            <w:tcW w:w="2800" w:type="dxa"/>
            <w:tcMar>
              <w:top w:w="30" w:type="dxa"/>
              <w:left w:w="75" w:type="dxa"/>
              <w:bottom w:w="30" w:type="dxa"/>
              <w:right w:w="75" w:type="dxa"/>
            </w:tcMar>
            <w:vAlign w:val="top"/>
          </w:tcPr>
          <w:p>
            <w:pPr>
              <w:spacing w:line="276" w:lineRule="auto"/>
              <w:jc w:val="left"/>
            </w:pPr>
            <w:r>
              <w:rPr>
                <w:rFonts w:ascii="Calibri" w:hAnsi="Calibri" w:cs="Calibri"/>
                <w:b/>
                <w:noProof/>
                <w:color w:val="000000"/>
                <w:sz w:val="22"/>
                <w:szCs w:val="22"/>
              </w:rPr>
              <w:t xml:space="preserve">Client sponsor</w:t>
            </w:r>
          </w:p>
        </w:tc>
        <w:tc>
          <w:tcPr>
            <w:tcW w:w="65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Rosa Delgado, VP Enterprise Applications</w:t>
            </w:r>
          </w:p>
        </w:tc>
      </w:tr>
      <w:tr>
        <w:trPr>
          <w:cantSplit/>
          <w:trHeight w:val="300" w:hRule="atLeast"/>
        </w:trPr>
        <w:tc>
          <w:tcPr>
            <w:tcW w:w="2800"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b/>
                <w:noProof/>
                <w:color w:val="000000"/>
                <w:sz w:val="22"/>
                <w:szCs w:val="22"/>
              </w:rPr>
              <w:t xml:space="preserve">Consultant engagement lead</w:t>
            </w:r>
          </w:p>
        </w:tc>
        <w:tc>
          <w:tcPr>
            <w:tcW w:w="6560"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Nathan Cho, Partner, Enterprise Technology</w:t>
            </w:r>
          </w:p>
        </w:tc>
      </w:tr>
      <w:tr>
        <w:trPr>
          <w:cantSplit/>
          <w:trHeight w:val="300" w:hRule="atLeast"/>
        </w:trPr>
        <w:tc>
          <w:tcPr>
            <w:tcW w:w="2800" w:type="dxa"/>
            <w:tcMar>
              <w:top w:w="30" w:type="dxa"/>
              <w:left w:w="75" w:type="dxa"/>
              <w:bottom w:w="30" w:type="dxa"/>
              <w:right w:w="75" w:type="dxa"/>
            </w:tcMar>
            <w:vAlign w:val="top"/>
          </w:tcPr>
          <w:p>
            <w:pPr>
              <w:spacing w:line="276" w:lineRule="auto"/>
              <w:jc w:val="left"/>
            </w:pPr>
            <w:r>
              <w:rPr>
                <w:rFonts w:ascii="Calibri" w:hAnsi="Calibri" w:cs="Calibri"/>
                <w:b/>
                <w:noProof/>
                <w:color w:val="000000"/>
                <w:sz w:val="22"/>
                <w:szCs w:val="22"/>
              </w:rPr>
              <w:t xml:space="preserve">Period of performance</w:t>
            </w:r>
          </w:p>
        </w:tc>
        <w:tc>
          <w:tcPr>
            <w:tcW w:w="65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May 18, 2026 through December 18, 2026</w:t>
            </w:r>
          </w:p>
        </w:tc>
      </w:tr>
      <w:tr>
        <w:trPr>
          <w:cantSplit/>
          <w:trHeight w:val="300" w:hRule="atLeast"/>
        </w:trPr>
        <w:tc>
          <w:tcPr>
            <w:tcW w:w="2800"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b/>
                <w:noProof/>
                <w:color w:val="000000"/>
                <w:sz w:val="22"/>
                <w:szCs w:val="22"/>
              </w:rPr>
              <w:t xml:space="preserve">Fee basis</w:t>
            </w:r>
          </w:p>
        </w:tc>
        <w:tc>
          <w:tcPr>
            <w:tcW w:w="6560"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Fixed fee by milestone: USD 486,500 plus expenses per Section 5</w:t>
            </w:r>
          </w:p>
        </w:tc>
      </w:tr>
    </w:tbl>
    <w:p>
      <w:pPr>
        <w:spacing w:before="80" w:after="0" w:line="20" w:lineRule="exact"/>
      </w:pPr>
    </w:p>
    <w:p>
      <w:pPr>
        <w:pStyle w:val="Heading2"/>
        <w:keepNext/>
        <w:keepLines/>
        <w:spacing w:line="276" w:lineRule="auto"/>
        <w:jc w:val="left"/>
        <w:outlineLvl w:val="1"/>
      </w:pPr>
      <w:r>
        <w:rPr>
          <w:rFonts w:ascii="Calibri" w:hAnsi="Calibri" w:cs="Calibri"/>
          <w:noProof/>
          <w:color w:val="000000"/>
          <w:sz w:val="40"/>
          <w:szCs w:val="40"/>
        </w:rPr>
        <w:t xml:space="preserve">1. Scope of Services</w:t>
      </w:r>
    </w:p>
    <w:p>
      <w:pPr>
        <w:pStyle w:val="Heading3"/>
        <w:keepNext/>
        <w:keepLines/>
        <w:spacing w:line="276" w:lineRule="auto"/>
        <w:jc w:val="left"/>
        <w:outlineLvl w:val="2"/>
      </w:pPr>
      <w:r>
        <w:rPr>
          <w:rFonts w:ascii="Calibri" w:hAnsi="Calibri" w:cs="Calibri"/>
          <w:noProof/>
          <w:color w:val="000000"/>
          <w:sz w:val="32"/>
          <w:szCs w:val="32"/>
        </w:rPr>
        <w:t xml:space="preserve">1.1 Workstream A — Data Profiling and Cleansing</w:t>
      </w:r>
    </w:p>
    <w:p>
      <w:pPr>
        <w:pStyle w:val="Heading4"/>
        <w:keepNext/>
        <w:keepLines/>
        <w:spacing w:line="276" w:lineRule="auto"/>
        <w:jc w:val="left"/>
        <w:outlineLvl w:val="3"/>
      </w:pPr>
      <w:r>
        <w:rPr>
          <w:rFonts w:ascii="Calibri" w:hAnsi="Calibri" w:cs="Calibri"/>
          <w:noProof/>
          <w:color w:val="000000"/>
          <w:sz w:val="28"/>
          <w:szCs w:val="28"/>
        </w:rPr>
        <w:t xml:space="preserve">1.1.1 Data Profiling</w:t>
      </w:r>
    </w:p>
    <w:p>
      <w:pPr>
        <w:spacing w:line="276" w:lineRule="auto"/>
        <w:jc w:val="both"/>
      </w:pPr>
      <w:r>
        <w:rPr>
          <w:rFonts w:ascii="Calibri" w:hAnsi="Calibri" w:cs="Calibri"/>
          <w:noProof/>
          <w:color w:val="000000"/>
          <w:sz w:val="22"/>
          <w:szCs w:val="22"/>
        </w:rPr>
        <w:t xml:space="preserve">Consultant will profile the material master, customer master, vendor master, open purchase orders, open sales orders, and three (3) years of financial transaction history in Client's SAP ECC 6.0 production instance, and will deliver a data quality assessment identifying duplicate, incomplete, and orphaned records with severity ratings and recommended remediation owners.</w:t>
      </w:r>
    </w:p>
    <w:p>
      <w:pPr>
        <w:pStyle w:val="Heading4"/>
        <w:keepNext/>
        <w:keepLines/>
        <w:spacing w:line="276" w:lineRule="auto"/>
        <w:jc w:val="left"/>
        <w:outlineLvl w:val="3"/>
      </w:pPr>
      <w:r>
        <w:rPr>
          <w:rFonts w:ascii="Calibri" w:hAnsi="Calibri" w:cs="Calibri"/>
          <w:noProof/>
          <w:color w:val="000000"/>
          <w:sz w:val="28"/>
          <w:szCs w:val="28"/>
        </w:rPr>
        <w:t xml:space="preserve">1.1.2 Cleansing Rules and Execution</w:t>
      </w:r>
    </w:p>
    <w:p>
      <w:pPr>
        <w:spacing w:line="276" w:lineRule="auto"/>
        <w:jc w:val="both"/>
      </w:pPr>
      <w:r>
        <w:rPr>
          <w:rFonts w:ascii="Calibri" w:hAnsi="Calibri" w:cs="Calibri"/>
          <w:noProof/>
          <w:color w:val="000000"/>
          <w:sz w:val="22"/>
          <w:szCs w:val="22"/>
        </w:rPr>
        <w:t xml:space="preserve">Consultant will define de-duplication and enrichment rules in Syniti ADM, execute cleansing in up to three (3) iterative cycles against the staging environment, and track defect burn-down to a target of no more than 0.5% residual critical defects at the final cycle.</w:t>
      </w:r>
    </w:p>
    <w:p>
      <w:pPr>
        <w:pStyle w:val="Heading3"/>
        <w:keepNext/>
        <w:keepLines/>
        <w:spacing w:line="276" w:lineRule="auto"/>
        <w:jc w:val="left"/>
        <w:outlineLvl w:val="2"/>
      </w:pPr>
      <w:r>
        <w:rPr>
          <w:rFonts w:ascii="Calibri" w:hAnsi="Calibri" w:cs="Calibri"/>
          <w:noProof/>
          <w:color w:val="000000"/>
          <w:sz w:val="32"/>
          <w:szCs w:val="32"/>
        </w:rPr>
        <w:t xml:space="preserve">1.2 Workstream B — Migration Build and Test</w:t>
      </w:r>
    </w:p>
    <w:p>
      <w:pPr>
        <w:pStyle w:val="Heading4"/>
        <w:keepNext/>
        <w:keepLines/>
        <w:spacing w:line="276" w:lineRule="auto"/>
        <w:jc w:val="left"/>
        <w:outlineLvl w:val="3"/>
      </w:pPr>
      <w:r>
        <w:rPr>
          <w:rFonts w:ascii="Calibri" w:hAnsi="Calibri" w:cs="Calibri"/>
          <w:noProof/>
          <w:color w:val="000000"/>
          <w:sz w:val="28"/>
          <w:szCs w:val="28"/>
        </w:rPr>
        <w:t xml:space="preserve">1.2.1 Extraction and Transformation</w:t>
      </w:r>
    </w:p>
    <w:p>
      <w:pPr>
        <w:spacing w:line="276" w:lineRule="auto"/>
        <w:jc w:val="both"/>
      </w:pPr>
      <w:r>
        <w:rPr>
          <w:rFonts w:ascii="Calibri" w:hAnsi="Calibri" w:cs="Calibri"/>
          <w:noProof/>
          <w:color w:val="000000"/>
          <w:sz w:val="22"/>
          <w:szCs w:val="22"/>
        </w:rPr>
        <w:t xml:space="preserve">Consultant will build extraction and transformation logic for the twenty-two (22) data objects listed in Appendix 1 using the SAP Migration Cockpit and custom ABAP where object complexity requires it, with unit test evidence retained in Client's Jira instance under project key KES.</w:t>
      </w:r>
    </w:p>
    <w:p>
      <w:pPr>
        <w:pStyle w:val="Heading4"/>
        <w:keepNext/>
        <w:keepLines/>
        <w:spacing w:line="276" w:lineRule="auto"/>
        <w:jc w:val="left"/>
        <w:outlineLvl w:val="3"/>
      </w:pPr>
      <w:r>
        <w:rPr>
          <w:rFonts w:ascii="Calibri" w:hAnsi="Calibri" w:cs="Calibri"/>
          <w:noProof/>
          <w:color w:val="000000"/>
          <w:sz w:val="28"/>
          <w:szCs w:val="28"/>
        </w:rPr>
        <w:t xml:space="preserve">1.2.2 Mock Loads</w:t>
      </w:r>
    </w:p>
    <w:p>
      <w:pPr>
        <w:spacing w:line="276" w:lineRule="auto"/>
        <w:jc w:val="both"/>
      </w:pPr>
      <w:r>
        <w:rPr>
          <w:rFonts w:ascii="Calibri" w:hAnsi="Calibri" w:cs="Calibri"/>
          <w:noProof/>
          <w:color w:val="000000"/>
          <w:sz w:val="22"/>
          <w:szCs w:val="22"/>
        </w:rPr>
        <w:t xml:space="preserve">Consultant will execute three (3) full-volume mock loads into the S/4HANA quality environment, publish reconciliation reports within two (2) business days of each mock load, and achieve a load success rate of at least 99.7% by record count at Mock Load 3.</w:t>
      </w:r>
    </w:p>
    <w:p>
      <w:pPr>
        <w:pStyle w:val="Heading3"/>
        <w:keepNext/>
        <w:keepLines/>
        <w:spacing w:line="276" w:lineRule="auto"/>
        <w:jc w:val="left"/>
        <w:outlineLvl w:val="2"/>
      </w:pPr>
      <w:r>
        <w:rPr>
          <w:rFonts w:ascii="Calibri" w:hAnsi="Calibri" w:cs="Calibri"/>
          <w:noProof/>
          <w:color w:val="000000"/>
          <w:sz w:val="32"/>
          <w:szCs w:val="32"/>
        </w:rPr>
        <w:t xml:space="preserve">1.3 Workstream C — Cutover and Hypercare</w:t>
      </w:r>
    </w:p>
    <w:p>
      <w:pPr>
        <w:spacing w:line="276" w:lineRule="auto"/>
        <w:jc w:val="both"/>
      </w:pPr>
      <w:r>
        <w:rPr>
          <w:rFonts w:ascii="Calibri" w:hAnsi="Calibri" w:cs="Calibri"/>
          <w:noProof/>
          <w:color w:val="000000"/>
          <w:sz w:val="22"/>
          <w:szCs w:val="22"/>
        </w:rPr>
        <w:t xml:space="preserve">1.3.1 Consultant will prepare the cutover runbook (target duration not to exceed 72 hours of production downtime), staff the cutover command center during the go-live weekend of November 13–15, 2026, and provide hypercare support for four (4) weeks post go-live with a dedicated defect triage lead.</w:t>
      </w:r>
    </w:p>
    <w:p>
      <w:pPr>
        <w:spacing w:line="276" w:lineRule="auto"/>
        <w:jc w:val="both"/>
      </w:pPr>
      <w:r>
        <w:rPr>
          <w:rFonts w:ascii="Calibri" w:hAnsi="Calibri" w:cs="Calibri"/>
          <w:noProof/>
          <w:color w:val="000000"/>
          <w:sz w:val="22"/>
          <w:szCs w:val="22"/>
        </w:rPr>
        <w:t xml:space="preserve">1.3.2 Out of scope: functional configuration of S/4HANA modules, custom code remediation outside migration objects, end-user training delivery, infrastructure sizing, and any services for Client's Canadian subsidiary. Changes to scope require a change order under Section 4.3 of the MCA.</w:t>
      </w:r>
    </w:p>
    <w:p>
      <w:pPr>
        <w:pStyle w:val="Heading2"/>
        <w:keepNext/>
        <w:keepLines/>
        <w:spacing w:line="276" w:lineRule="auto"/>
        <w:jc w:val="left"/>
        <w:outlineLvl w:val="1"/>
      </w:pPr>
      <w:r>
        <w:rPr>
          <w:rFonts w:ascii="Calibri" w:hAnsi="Calibri" w:cs="Calibri"/>
          <w:noProof/>
          <w:color w:val="000000"/>
          <w:sz w:val="40"/>
          <w:szCs w:val="40"/>
        </w:rPr>
        <w:t xml:space="preserve">2. Deliverables and Acceptance</w:t>
      </w:r>
    </w:p>
    <w:p>
      <w:pPr>
        <w:spacing w:line="276" w:lineRule="auto"/>
        <w:jc w:val="both"/>
      </w:pPr>
      <w:r>
        <w:rPr>
          <w:rFonts w:ascii="Calibri" w:hAnsi="Calibri" w:cs="Calibri"/>
          <w:noProof/>
          <w:color w:val="000000"/>
          <w:sz w:val="22"/>
          <w:szCs w:val="22"/>
        </w:rPr>
        <w:t xml:space="preserve">2.1 Consultant will provide the deliverables listed below. Client will accept or reject each deliverable in writing within ten (10) business days of receipt, identifying material non-conformities with the applicable acceptance criteria. Deliverables not rejected within that period are deemed accepted. Consultant will have ten (10) business days to remediate and resubmit rejected deliverables.</w:t>
      </w:r>
    </w:p>
    <w:tbl>
      <w:tblPr>
        <w:tblW w:w="9360" w:type="dxa"/>
        <w:tblBorders>
          <w:top w:val="nil"/>
          <w:left w:val="nil"/>
          <w:bottom w:val="nil"/>
          <w:right w:val="nil"/>
          <w:insideH w:val="nil"/>
          <w:insideV w:val="nil"/>
        </w:tblBorders>
        <w:tblLayout w:type="fixed"/>
        <w:tblCellMar>
          <w:top w:w="72" w:type="dxa"/>
          <w:left w:w="108" w:type="dxa"/>
          <w:bottom w:w="72" w:type="dxa"/>
          <w:right w:w="108" w:type="dxa"/>
        </w:tblCellMar>
        <w:tblCaption w:val="Deliverables register"/>
      </w:tblPr>
      <w:tblGrid>
        <w:gridCol w:w="840"/>
        <w:gridCol w:w="3120"/>
        <w:gridCol w:w="3520"/>
        <w:gridCol w:w="1880"/>
      </w:tblGrid>
      <w:tr>
        <w:trPr>
          <w:cantSplit/>
          <w:trHeight w:val="300" w:hRule="atLeast"/>
          <w:tblHeader/>
        </w:trPr>
        <w:tc>
          <w:tcPr>
            <w:tcW w:w="840"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b/>
                <w:noProof/>
                <w:color w:val="000000"/>
                <w:sz w:val="22"/>
                <w:szCs w:val="22"/>
              </w:rPr>
              <w:t xml:space="preserve">ID</w:t>
            </w:r>
          </w:p>
        </w:tc>
        <w:tc>
          <w:tcPr>
            <w:tcW w:w="3120"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b/>
                <w:noProof/>
                <w:color w:val="000000"/>
                <w:sz w:val="22"/>
                <w:szCs w:val="22"/>
              </w:rPr>
              <w:t xml:space="preserve">Deliverable</w:t>
            </w:r>
          </w:p>
        </w:tc>
        <w:tc>
          <w:tcPr>
            <w:tcW w:w="3520"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b/>
                <w:noProof/>
                <w:color w:val="000000"/>
                <w:sz w:val="22"/>
                <w:szCs w:val="22"/>
              </w:rPr>
              <w:t xml:space="preserve">Acceptance Criteria</w:t>
            </w:r>
          </w:p>
        </w:tc>
        <w:tc>
          <w:tcPr>
            <w:tcW w:w="1880"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b/>
                <w:noProof/>
                <w:color w:val="000000"/>
                <w:sz w:val="22"/>
                <w:szCs w:val="22"/>
              </w:rPr>
              <w:t xml:space="preserve">Due Date</w:t>
            </w:r>
          </w:p>
        </w:tc>
      </w:tr>
      <w:tr>
        <w:trPr>
          <w:cantSplit/>
          <w:trHeight w:val="300" w:hRule="atLeast"/>
        </w:trPr>
        <w:tc>
          <w:tcPr>
            <w:tcW w:w="84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D1</w:t>
            </w:r>
          </w:p>
        </w:tc>
        <w:tc>
          <w:tcPr>
            <w:tcW w:w="312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Data quality assessment report</w:t>
            </w:r>
          </w:p>
        </w:tc>
        <w:tc>
          <w:tcPr>
            <w:tcW w:w="352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Covers all six object domains; severity model agreed with sponsor</w:t>
            </w:r>
          </w:p>
        </w:tc>
        <w:tc>
          <w:tcPr>
            <w:tcW w:w="188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Jun 12, 2026</w:t>
            </w:r>
          </w:p>
        </w:tc>
      </w:tr>
      <w:tr>
        <w:trPr>
          <w:cantSplit/>
          <w:trHeight w:val="300" w:hRule="atLeast"/>
        </w:trPr>
        <w:tc>
          <w:tcPr>
            <w:tcW w:w="84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D2</w:t>
            </w:r>
          </w:p>
        </w:tc>
        <w:tc>
          <w:tcPr>
            <w:tcW w:w="312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Cleansing rulebook and cycle 3 results</w:t>
            </w:r>
          </w:p>
        </w:tc>
        <w:tc>
          <w:tcPr>
            <w:tcW w:w="352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Residual critical defects ≤ 0.5% of profiled records</w:t>
            </w:r>
          </w:p>
        </w:tc>
        <w:tc>
          <w:tcPr>
            <w:tcW w:w="188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Aug 7, 2026</w:t>
            </w:r>
          </w:p>
        </w:tc>
      </w:tr>
      <w:tr>
        <w:trPr>
          <w:cantSplit/>
          <w:trHeight w:val="300" w:hRule="atLeast"/>
        </w:trPr>
        <w:tc>
          <w:tcPr>
            <w:tcW w:w="84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D3</w:t>
            </w:r>
          </w:p>
        </w:tc>
        <w:tc>
          <w:tcPr>
            <w:tcW w:w="312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Migration build pack (22 objects)</w:t>
            </w:r>
          </w:p>
        </w:tc>
        <w:tc>
          <w:tcPr>
            <w:tcW w:w="352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Unit test evidence in Jira for each object; peer review sign-off</w:t>
            </w:r>
          </w:p>
        </w:tc>
        <w:tc>
          <w:tcPr>
            <w:tcW w:w="188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Sep 4, 2026</w:t>
            </w:r>
          </w:p>
        </w:tc>
      </w:tr>
      <w:tr>
        <w:trPr>
          <w:cantSplit/>
          <w:trHeight w:val="300" w:hRule="atLeast"/>
        </w:trPr>
        <w:tc>
          <w:tcPr>
            <w:tcW w:w="84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D4</w:t>
            </w:r>
          </w:p>
        </w:tc>
        <w:tc>
          <w:tcPr>
            <w:tcW w:w="312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Mock Load 3 reconciliation report</w:t>
            </w:r>
          </w:p>
        </w:tc>
        <w:tc>
          <w:tcPr>
            <w:tcW w:w="352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Load success ≥ 99.7% by record count; variances dispositioned</w:t>
            </w:r>
          </w:p>
        </w:tc>
        <w:tc>
          <w:tcPr>
            <w:tcW w:w="188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Oct 23, 2026</w:t>
            </w:r>
          </w:p>
        </w:tc>
      </w:tr>
      <w:tr>
        <w:trPr>
          <w:cantSplit/>
          <w:trHeight w:val="300" w:hRule="atLeast"/>
        </w:trPr>
        <w:tc>
          <w:tcPr>
            <w:tcW w:w="84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D5</w:t>
            </w:r>
          </w:p>
        </w:tc>
        <w:tc>
          <w:tcPr>
            <w:tcW w:w="312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Cutover runbook v1.0</w:t>
            </w:r>
          </w:p>
        </w:tc>
        <w:tc>
          <w:tcPr>
            <w:tcW w:w="352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Dry-run executed; downtime plan ≤ 72 hours; rollback documented</w:t>
            </w:r>
          </w:p>
        </w:tc>
        <w:tc>
          <w:tcPr>
            <w:tcW w:w="188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Nov 6, 2026</w:t>
            </w:r>
          </w:p>
        </w:tc>
      </w:tr>
      <w:tr>
        <w:trPr>
          <w:cantSplit/>
          <w:trHeight w:val="300" w:hRule="atLeast"/>
        </w:trPr>
        <w:tc>
          <w:tcPr>
            <w:tcW w:w="84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D6</w:t>
            </w:r>
          </w:p>
        </w:tc>
        <w:tc>
          <w:tcPr>
            <w:tcW w:w="312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Hypercare exit report</w:t>
            </w:r>
          </w:p>
        </w:tc>
        <w:tc>
          <w:tcPr>
            <w:tcW w:w="352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No open Severity 1 defects; knowledge transfer sessions complete</w:t>
            </w:r>
          </w:p>
        </w:tc>
        <w:tc>
          <w:tcPr>
            <w:tcW w:w="188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Dec 18, 2026</w:t>
            </w:r>
          </w:p>
        </w:tc>
      </w:tr>
    </w:tbl>
    <w:p>
      <w:pPr>
        <w:spacing w:before="80" w:after="0" w:line="20" w:lineRule="exact"/>
      </w:pPr>
    </w:p>
    <w:p>
      <w:pPr>
        <w:pStyle w:val="Heading2"/>
        <w:keepNext/>
        <w:keepLines/>
        <w:spacing w:line="276" w:lineRule="auto"/>
        <w:jc w:val="left"/>
        <w:outlineLvl w:val="1"/>
      </w:pPr>
      <w:r>
        <w:rPr>
          <w:rFonts w:ascii="Calibri" w:hAnsi="Calibri" w:cs="Calibri"/>
          <w:noProof/>
          <w:color w:val="000000"/>
          <w:sz w:val="40"/>
          <w:szCs w:val="40"/>
        </w:rPr>
        <w:t xml:space="preserve">3. Milestones and Fees</w:t>
      </w:r>
    </w:p>
    <w:p>
      <w:pPr>
        <w:spacing w:line="276" w:lineRule="auto"/>
        <w:jc w:val="both"/>
      </w:pPr>
      <w:r>
        <w:rPr>
          <w:rFonts w:ascii="Calibri" w:hAnsi="Calibri" w:cs="Calibri"/>
          <w:noProof/>
          <w:color w:val="000000"/>
          <w:sz w:val="22"/>
          <w:szCs w:val="22"/>
        </w:rPr>
        <w:t xml:space="preserve">3.1 Fees are fixed by milestone and invoiced upon Client's acceptance of the associated deliverable. Payment terms are net thirty (30) days per Section 6.2 of the MCA.</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108" w:type="dxa"/>
          <w:bottom w:w="72" w:type="dxa"/>
          <w:right w:w="108" w:type="dxa"/>
        </w:tblCellMar>
        <w:tblCaption w:val="Milestone and payment schedule"/>
      </w:tblPr>
      <w:tblGrid>
        <w:gridCol w:w="800"/>
        <w:gridCol w:w="3360"/>
        <w:gridCol w:w="1560"/>
        <w:gridCol w:w="1800"/>
        <w:gridCol w:w="1840"/>
      </w:tblGrid>
      <w:tr>
        <w:trPr>
          <w:cantSplit/>
          <w:trHeight w:val="300" w:hRule="atLeast"/>
          <w:tblHeader/>
        </w:trPr>
        <w:tc>
          <w:tcPr>
            <w:tcW w:w="800" w:type="dxa"/>
            <w:tcMar>
              <w:top w:w="30" w:type="dxa"/>
              <w:left w:w="75" w:type="dxa"/>
              <w:bottom w:w="30" w:type="dxa"/>
              <w:right w:w="75" w:type="dxa"/>
            </w:tcMar>
            <w:vAlign w:val="top"/>
          </w:tcPr>
          <w:p>
            <w:pPr>
              <w:spacing w:line="276" w:lineRule="auto"/>
              <w:jc w:val="left"/>
            </w:pPr>
            <w:r>
              <w:rPr>
                <w:rFonts w:ascii="Calibri" w:hAnsi="Calibri" w:cs="Calibri"/>
                <w:b/>
                <w:noProof/>
                <w:color w:val="000000"/>
                <w:sz w:val="22"/>
                <w:szCs w:val="22"/>
              </w:rPr>
              <w:t xml:space="preserve">M#</w:t>
            </w:r>
          </w:p>
        </w:tc>
        <w:tc>
          <w:tcPr>
            <w:tcW w:w="3360" w:type="dxa"/>
            <w:tcMar>
              <w:top w:w="30" w:type="dxa"/>
              <w:left w:w="75" w:type="dxa"/>
              <w:bottom w:w="30" w:type="dxa"/>
              <w:right w:w="75" w:type="dxa"/>
            </w:tcMar>
            <w:vAlign w:val="top"/>
          </w:tcPr>
          <w:p>
            <w:pPr>
              <w:spacing w:line="276" w:lineRule="auto"/>
              <w:jc w:val="left"/>
            </w:pPr>
            <w:r>
              <w:rPr>
                <w:rFonts w:ascii="Calibri" w:hAnsi="Calibri" w:cs="Calibri"/>
                <w:b/>
                <w:noProof/>
                <w:color w:val="000000"/>
                <w:sz w:val="22"/>
                <w:szCs w:val="22"/>
              </w:rPr>
              <w:t xml:space="preserve">Milestone</w:t>
            </w:r>
          </w:p>
        </w:tc>
        <w:tc>
          <w:tcPr>
            <w:tcW w:w="1560" w:type="dxa"/>
            <w:tcMar>
              <w:top w:w="30" w:type="dxa"/>
              <w:left w:w="75" w:type="dxa"/>
              <w:bottom w:w="30" w:type="dxa"/>
              <w:right w:w="75" w:type="dxa"/>
            </w:tcMar>
            <w:vAlign w:val="top"/>
          </w:tcPr>
          <w:p>
            <w:pPr>
              <w:spacing w:line="276" w:lineRule="auto"/>
              <w:jc w:val="left"/>
            </w:pPr>
            <w:r>
              <w:rPr>
                <w:rFonts w:ascii="Calibri" w:hAnsi="Calibri" w:cs="Calibri"/>
                <w:b/>
                <w:noProof/>
                <w:color w:val="000000"/>
                <w:sz w:val="22"/>
                <w:szCs w:val="22"/>
              </w:rPr>
              <w:t xml:space="preserve">Linked Deliverable</w:t>
            </w:r>
          </w:p>
        </w:tc>
        <w:tc>
          <w:tcPr>
            <w:tcW w:w="1800" w:type="dxa"/>
            <w:tcMar>
              <w:top w:w="30" w:type="dxa"/>
              <w:left w:w="75" w:type="dxa"/>
              <w:bottom w:w="30" w:type="dxa"/>
              <w:right w:w="75" w:type="dxa"/>
            </w:tcMar>
            <w:vAlign w:val="top"/>
          </w:tcPr>
          <w:p>
            <w:pPr>
              <w:spacing w:line="276" w:lineRule="auto"/>
              <w:jc w:val="left"/>
            </w:pPr>
            <w:r>
              <w:rPr>
                <w:rFonts w:ascii="Calibri" w:hAnsi="Calibri" w:cs="Calibri"/>
                <w:b/>
                <w:noProof/>
                <w:color w:val="000000"/>
                <w:sz w:val="22"/>
                <w:szCs w:val="22"/>
              </w:rPr>
              <w:t xml:space="preserve">Target Date</w:t>
            </w:r>
          </w:p>
        </w:tc>
        <w:tc>
          <w:tcPr>
            <w:tcW w:w="1840" w:type="dxa"/>
            <w:tcMar>
              <w:top w:w="30" w:type="dxa"/>
              <w:left w:w="75" w:type="dxa"/>
              <w:bottom w:w="30" w:type="dxa"/>
              <w:right w:w="75" w:type="dxa"/>
            </w:tcMar>
            <w:vAlign w:val="top"/>
          </w:tcPr>
          <w:p>
            <w:pPr>
              <w:spacing w:line="276" w:lineRule="auto"/>
              <w:jc w:val="right"/>
            </w:pPr>
            <w:r>
              <w:rPr>
                <w:rFonts w:ascii="Calibri" w:hAnsi="Calibri" w:cs="Calibri"/>
                <w:b/>
                <w:noProof/>
                <w:color w:val="000000"/>
                <w:sz w:val="22"/>
                <w:szCs w:val="22"/>
              </w:rPr>
              <w:t xml:space="preserve">Fee (USD)</w:t>
            </w:r>
          </w:p>
        </w:tc>
      </w:tr>
      <w:tr>
        <w:trPr>
          <w:cantSplit/>
          <w:trHeight w:val="300" w:hRule="atLeast"/>
        </w:trPr>
        <w:tc>
          <w:tcPr>
            <w:tcW w:w="8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M1</w:t>
            </w:r>
          </w:p>
        </w:tc>
        <w:tc>
          <w:tcPr>
            <w:tcW w:w="33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Engagement mobilization and profiling complete</w:t>
            </w:r>
          </w:p>
        </w:tc>
        <w:tc>
          <w:tcPr>
            <w:tcW w:w="15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D1</w:t>
            </w:r>
          </w:p>
        </w:tc>
        <w:tc>
          <w:tcPr>
            <w:tcW w:w="18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Jun 12, 2026</w:t>
            </w:r>
          </w:p>
        </w:tc>
        <w:tc>
          <w:tcPr>
            <w:tcW w:w="1840"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58,500</w:t>
            </w:r>
          </w:p>
        </w:tc>
      </w:tr>
      <w:tr>
        <w:trPr>
          <w:cantSplit/>
          <w:trHeight w:val="300" w:hRule="atLeast"/>
        </w:trPr>
        <w:tc>
          <w:tcPr>
            <w:tcW w:w="8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M2</w:t>
            </w:r>
          </w:p>
        </w:tc>
        <w:tc>
          <w:tcPr>
            <w:tcW w:w="33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Cleansing cycle 3 complete</w:t>
            </w:r>
          </w:p>
        </w:tc>
        <w:tc>
          <w:tcPr>
            <w:tcW w:w="15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D2</w:t>
            </w:r>
          </w:p>
        </w:tc>
        <w:tc>
          <w:tcPr>
            <w:tcW w:w="18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Aug 7, 2026</w:t>
            </w:r>
          </w:p>
        </w:tc>
        <w:tc>
          <w:tcPr>
            <w:tcW w:w="1840"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72,000</w:t>
            </w:r>
          </w:p>
        </w:tc>
      </w:tr>
      <w:tr>
        <w:trPr>
          <w:cantSplit/>
          <w:trHeight w:val="300" w:hRule="atLeast"/>
        </w:trPr>
        <w:tc>
          <w:tcPr>
            <w:tcW w:w="8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M3</w:t>
            </w:r>
          </w:p>
        </w:tc>
        <w:tc>
          <w:tcPr>
            <w:tcW w:w="33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Migration build complete</w:t>
            </w:r>
          </w:p>
        </w:tc>
        <w:tc>
          <w:tcPr>
            <w:tcW w:w="15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D3</w:t>
            </w:r>
          </w:p>
        </w:tc>
        <w:tc>
          <w:tcPr>
            <w:tcW w:w="18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Sep 4, 2026</w:t>
            </w:r>
          </w:p>
        </w:tc>
        <w:tc>
          <w:tcPr>
            <w:tcW w:w="1840"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98,000</w:t>
            </w:r>
          </w:p>
        </w:tc>
      </w:tr>
      <w:tr>
        <w:trPr>
          <w:cantSplit/>
          <w:trHeight w:val="300" w:hRule="atLeast"/>
        </w:trPr>
        <w:tc>
          <w:tcPr>
            <w:tcW w:w="8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M4</w:t>
            </w:r>
          </w:p>
        </w:tc>
        <w:tc>
          <w:tcPr>
            <w:tcW w:w="33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Mock Load 3 accepted</w:t>
            </w:r>
          </w:p>
        </w:tc>
        <w:tc>
          <w:tcPr>
            <w:tcW w:w="15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D4</w:t>
            </w:r>
          </w:p>
        </w:tc>
        <w:tc>
          <w:tcPr>
            <w:tcW w:w="18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Oct 23, 2026</w:t>
            </w:r>
          </w:p>
        </w:tc>
        <w:tc>
          <w:tcPr>
            <w:tcW w:w="1840"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104,000</w:t>
            </w:r>
          </w:p>
        </w:tc>
      </w:tr>
      <w:tr>
        <w:trPr>
          <w:cantSplit/>
          <w:trHeight w:val="300" w:hRule="atLeast"/>
        </w:trPr>
        <w:tc>
          <w:tcPr>
            <w:tcW w:w="8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M5</w:t>
            </w:r>
          </w:p>
        </w:tc>
        <w:tc>
          <w:tcPr>
            <w:tcW w:w="33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Go-live cutover executed</w:t>
            </w:r>
          </w:p>
        </w:tc>
        <w:tc>
          <w:tcPr>
            <w:tcW w:w="15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D5</w:t>
            </w:r>
          </w:p>
        </w:tc>
        <w:tc>
          <w:tcPr>
            <w:tcW w:w="18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Nov 16, 2026</w:t>
            </w:r>
          </w:p>
        </w:tc>
        <w:tc>
          <w:tcPr>
            <w:tcW w:w="1840"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96,000</w:t>
            </w:r>
          </w:p>
        </w:tc>
      </w:tr>
      <w:tr>
        <w:trPr>
          <w:cantSplit/>
          <w:trHeight w:val="300" w:hRule="atLeast"/>
        </w:trPr>
        <w:tc>
          <w:tcPr>
            <w:tcW w:w="8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M6</w:t>
            </w:r>
          </w:p>
        </w:tc>
        <w:tc>
          <w:tcPr>
            <w:tcW w:w="33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Hypercare exit accepted</w:t>
            </w:r>
          </w:p>
        </w:tc>
        <w:tc>
          <w:tcPr>
            <w:tcW w:w="15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D6</w:t>
            </w:r>
          </w:p>
        </w:tc>
        <w:tc>
          <w:tcPr>
            <w:tcW w:w="180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Dec 18, 2026</w:t>
            </w:r>
          </w:p>
        </w:tc>
        <w:tc>
          <w:tcPr>
            <w:tcW w:w="1840"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58,000</w:t>
            </w:r>
          </w:p>
        </w:tc>
      </w:tr>
      <w:tr>
        <w:trPr>
          <w:cantSplit/>
          <w:trHeight w:val="300" w:hRule="atLeast"/>
        </w:trPr>
        <w:tc>
          <w:tcPr>
            <w:tcW w:w="7520" w:type="dxa"/>
            <w:gridSpan w:val="4"/>
            <w:tcMar>
              <w:top w:w="30" w:type="dxa"/>
              <w:left w:w="75" w:type="dxa"/>
              <w:bottom w:w="30" w:type="dxa"/>
              <w:right w:w="75" w:type="dxa"/>
            </w:tcMar>
            <w:vAlign w:val="top"/>
          </w:tcPr>
          <w:p>
            <w:pPr>
              <w:spacing w:line="276" w:lineRule="auto"/>
              <w:jc w:val="right"/>
            </w:pPr>
            <w:r>
              <w:rPr>
                <w:rFonts w:ascii="Calibri" w:hAnsi="Calibri" w:cs="Calibri"/>
                <w:b/>
                <w:noProof/>
                <w:color w:val="000000"/>
                <w:sz w:val="22"/>
                <w:szCs w:val="22"/>
              </w:rPr>
              <w:t xml:space="preserve">Total fixed fees</w:t>
            </w:r>
          </w:p>
        </w:tc>
        <w:tc>
          <w:tcPr>
            <w:tcW w:w="1840" w:type="dxa"/>
            <w:tcMar>
              <w:top w:w="30" w:type="dxa"/>
              <w:left w:w="75" w:type="dxa"/>
              <w:bottom w:w="30" w:type="dxa"/>
              <w:right w:w="75" w:type="dxa"/>
            </w:tcMar>
            <w:vAlign w:val="top"/>
          </w:tcPr>
          <w:p>
            <w:pPr>
              <w:spacing w:line="276" w:lineRule="auto"/>
              <w:jc w:val="right"/>
            </w:pPr>
            <w:r>
              <w:rPr>
                <w:rFonts w:ascii="Calibri" w:hAnsi="Calibri" w:cs="Calibri"/>
                <w:b/>
                <w:noProof/>
                <w:color w:val="000000"/>
                <w:sz w:val="22"/>
                <w:szCs w:val="22"/>
              </w:rPr>
              <w:t xml:space="preserve">486,500</w:t>
            </w:r>
          </w:p>
        </w:tc>
      </w:tr>
    </w:tbl>
    <w:p>
      <w:pPr>
        <w:spacing w:before="80" w:after="0" w:line="20" w:lineRule="exact"/>
      </w:pPr>
    </w:p>
    <w:p>
      <w:pPr>
        <w:pStyle w:val="Heading2"/>
        <w:keepNext/>
        <w:keepLines/>
        <w:spacing w:line="276" w:lineRule="auto"/>
        <w:jc w:val="left"/>
        <w:outlineLvl w:val="1"/>
      </w:pPr>
      <w:r>
        <w:rPr>
          <w:rFonts w:ascii="Calibri" w:hAnsi="Calibri" w:cs="Calibri"/>
          <w:noProof/>
          <w:color w:val="000000"/>
          <w:sz w:val="40"/>
          <w:szCs w:val="40"/>
        </w:rPr>
        <w:t xml:space="preserve">4. Rate Card for Change Orders</w:t>
      </w:r>
    </w:p>
    <w:p>
      <w:pPr>
        <w:spacing w:line="276" w:lineRule="auto"/>
        <w:jc w:val="both"/>
      </w:pPr>
      <w:r>
        <w:rPr>
          <w:rFonts w:ascii="Calibri" w:hAnsi="Calibri" w:cs="Calibri"/>
          <w:noProof/>
          <w:color w:val="000000"/>
          <w:sz w:val="22"/>
          <w:szCs w:val="22"/>
        </w:rPr>
        <w:t xml:space="preserve">4.1 Services added by change order will be charged at the blended rates below, which remain firm through December 31, 2026. Rates are quoted per hour in USD, exclusive of taxes and expenses.</w:t>
      </w:r>
    </w:p>
    <w:tbl>
      <w:tblPr>
        <w:tblW w:w="9360" w:type="dxa"/>
        <w:tblBorders>
          <w:top w:val="nil"/>
          <w:left w:val="nil"/>
          <w:bottom w:val="nil"/>
          <w:right w:val="nil"/>
          <w:insideH w:val="nil"/>
          <w:insideV w:val="nil"/>
        </w:tblBorders>
        <w:tblLayout w:type="fixed"/>
        <w:tblCellMar>
          <w:top w:w="72" w:type="dxa"/>
          <w:left w:w="108" w:type="dxa"/>
          <w:bottom w:w="72" w:type="dxa"/>
          <w:right w:w="108" w:type="dxa"/>
        </w:tblCellMar>
        <w:tblCaption w:val="Change order rate card"/>
      </w:tblPr>
      <w:tblGrid>
        <w:gridCol w:w="2360"/>
        <w:gridCol w:w="1240"/>
        <w:gridCol w:w="1240"/>
        <w:gridCol w:w="1240"/>
        <w:gridCol w:w="1640"/>
        <w:gridCol w:w="1640"/>
      </w:tblGrid>
      <w:tr>
        <w:trPr>
          <w:cantSplit/>
          <w:trHeight w:val="300" w:hRule="atLeast"/>
          <w:tblHeader/>
        </w:trPr>
        <w:tc>
          <w:tcPr>
            <w:tcW w:w="2360" w:type="dxa"/>
            <w:tcBorders>
              <w:bottom w:val="single" w:sz="4" w:space="0" w:color="B7C9D6"/>
            </w:tcBorders>
            <w:shd w:val="clear" w:color="auto" w:fill="1F4E79"/>
            <w:tcMar>
              <w:top w:w="30" w:type="dxa"/>
              <w:left w:w="75" w:type="dxa"/>
              <w:bottom w:w="30" w:type="dxa"/>
              <w:right w:w="75" w:type="dxa"/>
            </w:tcMar>
            <w:vAlign w:val="top"/>
          </w:tcPr>
          <w:p>
            <w:pPr>
              <w:shd w:val="clear" w:color="auto" w:fill="1F4E79"/>
              <w:spacing w:line="276" w:lineRule="auto"/>
              <w:jc w:val="left"/>
            </w:pPr>
            <w:r>
              <w:rPr>
                <w:rFonts w:ascii="Calibri" w:hAnsi="Calibri" w:cs="Calibri"/>
                <w:b/>
                <w:noProof/>
                <w:color w:val="FFFFFF"/>
                <w:sz w:val="22"/>
                <w:szCs w:val="22"/>
              </w:rPr>
              <w:t xml:space="preserve">Role</w:t>
            </w:r>
          </w:p>
        </w:tc>
        <w:tc>
          <w:tcPr>
            <w:tcW w:w="1240" w:type="dxa"/>
            <w:tcBorders>
              <w:bottom w:val="single" w:sz="4" w:space="0" w:color="B7C9D6"/>
            </w:tcBorders>
            <w:shd w:val="clear" w:color="auto" w:fill="1F4E79"/>
            <w:tcMar>
              <w:top w:w="30" w:type="dxa"/>
              <w:left w:w="75" w:type="dxa"/>
              <w:bottom w:w="30" w:type="dxa"/>
              <w:right w:w="75" w:type="dxa"/>
            </w:tcMar>
            <w:vAlign w:val="top"/>
          </w:tcPr>
          <w:p>
            <w:pPr>
              <w:shd w:val="clear" w:color="auto" w:fill="1F4E79"/>
              <w:spacing w:line="276" w:lineRule="auto"/>
              <w:jc w:val="right"/>
            </w:pPr>
            <w:r>
              <w:rPr>
                <w:rFonts w:ascii="Calibri" w:hAnsi="Calibri" w:cs="Calibri"/>
                <w:b/>
                <w:noProof/>
                <w:color w:val="FFFFFF"/>
                <w:sz w:val="22"/>
                <w:szCs w:val="22"/>
              </w:rPr>
              <w:t xml:space="preserve">Onshore</w:t>
            </w:r>
          </w:p>
        </w:tc>
        <w:tc>
          <w:tcPr>
            <w:tcW w:w="1240" w:type="dxa"/>
            <w:tcBorders>
              <w:bottom w:val="single" w:sz="4" w:space="0" w:color="B7C9D6"/>
            </w:tcBorders>
            <w:shd w:val="clear" w:color="auto" w:fill="1F4E79"/>
            <w:tcMar>
              <w:top w:w="30" w:type="dxa"/>
              <w:left w:w="75" w:type="dxa"/>
              <w:bottom w:w="30" w:type="dxa"/>
              <w:right w:w="75" w:type="dxa"/>
            </w:tcMar>
            <w:vAlign w:val="top"/>
          </w:tcPr>
          <w:p>
            <w:pPr>
              <w:shd w:val="clear" w:color="auto" w:fill="1F4E79"/>
              <w:spacing w:line="276" w:lineRule="auto"/>
              <w:jc w:val="right"/>
            </w:pPr>
            <w:r>
              <w:rPr>
                <w:rFonts w:ascii="Calibri" w:hAnsi="Calibri" w:cs="Calibri"/>
                <w:b/>
                <w:noProof/>
                <w:color w:val="FFFFFF"/>
                <w:sz w:val="22"/>
                <w:szCs w:val="22"/>
              </w:rPr>
              <w:t xml:space="preserve">Nearshore</w:t>
            </w:r>
          </w:p>
        </w:tc>
        <w:tc>
          <w:tcPr>
            <w:tcW w:w="1240" w:type="dxa"/>
            <w:tcBorders>
              <w:bottom w:val="single" w:sz="4" w:space="0" w:color="B7C9D6"/>
            </w:tcBorders>
            <w:shd w:val="clear" w:color="auto" w:fill="1F4E79"/>
            <w:tcMar>
              <w:top w:w="30" w:type="dxa"/>
              <w:left w:w="75" w:type="dxa"/>
              <w:bottom w:w="30" w:type="dxa"/>
              <w:right w:w="75" w:type="dxa"/>
            </w:tcMar>
            <w:vAlign w:val="top"/>
          </w:tcPr>
          <w:p>
            <w:pPr>
              <w:shd w:val="clear" w:color="auto" w:fill="1F4E79"/>
              <w:spacing w:line="276" w:lineRule="auto"/>
              <w:jc w:val="right"/>
            </w:pPr>
            <w:r>
              <w:rPr>
                <w:rFonts w:ascii="Calibri" w:hAnsi="Calibri" w:cs="Calibri"/>
                <w:b/>
                <w:noProof/>
                <w:color w:val="FFFFFF"/>
                <w:sz w:val="22"/>
                <w:szCs w:val="22"/>
              </w:rPr>
              <w:t xml:space="preserve">Offshore</w:t>
            </w:r>
          </w:p>
        </w:tc>
        <w:tc>
          <w:tcPr>
            <w:tcW w:w="1640" w:type="dxa"/>
            <w:tcBorders>
              <w:bottom w:val="single" w:sz="4" w:space="0" w:color="B7C9D6"/>
            </w:tcBorders>
            <w:shd w:val="clear" w:color="auto" w:fill="1F4E79"/>
            <w:tcMar>
              <w:top w:w="30" w:type="dxa"/>
              <w:left w:w="75" w:type="dxa"/>
              <w:bottom w:w="30" w:type="dxa"/>
              <w:right w:w="75" w:type="dxa"/>
            </w:tcMar>
            <w:vAlign w:val="top"/>
          </w:tcPr>
          <w:p>
            <w:pPr>
              <w:shd w:val="clear" w:color="auto" w:fill="1F4E79"/>
              <w:spacing w:line="276" w:lineRule="auto"/>
              <w:jc w:val="right"/>
            </w:pPr>
            <w:r>
              <w:rPr>
                <w:rFonts w:ascii="Calibri" w:hAnsi="Calibri" w:cs="Calibri"/>
                <w:b/>
                <w:noProof/>
                <w:color w:val="FFFFFF"/>
                <w:sz w:val="22"/>
                <w:szCs w:val="22"/>
              </w:rPr>
              <w:t xml:space="preserve">Overtime Uplift</w:t>
            </w:r>
          </w:p>
        </w:tc>
        <w:tc>
          <w:tcPr>
            <w:tcW w:w="1640" w:type="dxa"/>
            <w:tcBorders>
              <w:bottom w:val="single" w:sz="4" w:space="0" w:color="B7C9D6"/>
            </w:tcBorders>
            <w:shd w:val="clear" w:color="auto" w:fill="1F4E79"/>
            <w:tcMar>
              <w:top w:w="30" w:type="dxa"/>
              <w:left w:w="75" w:type="dxa"/>
              <w:bottom w:w="30" w:type="dxa"/>
              <w:right w:w="75" w:type="dxa"/>
            </w:tcMar>
            <w:vAlign w:val="top"/>
          </w:tcPr>
          <w:p>
            <w:pPr>
              <w:shd w:val="clear" w:color="auto" w:fill="1F4E79"/>
              <w:spacing w:line="276" w:lineRule="auto"/>
              <w:jc w:val="right"/>
            </w:pPr>
            <w:r>
              <w:rPr>
                <w:rFonts w:ascii="Calibri" w:hAnsi="Calibri" w:cs="Calibri"/>
                <w:b/>
                <w:noProof/>
                <w:color w:val="FFFFFF"/>
                <w:sz w:val="22"/>
                <w:szCs w:val="22"/>
              </w:rPr>
              <w:t xml:space="preserve">Weekend Uplift</w:t>
            </w:r>
          </w:p>
        </w:tc>
      </w:tr>
      <w:tr>
        <w:trPr>
          <w:cantSplit/>
          <w:trHeight w:val="300" w:hRule="atLeast"/>
        </w:trPr>
        <w:tc>
          <w:tcPr>
            <w:tcW w:w="23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Partner</w:t>
            </w:r>
          </w:p>
        </w:tc>
        <w:tc>
          <w:tcPr>
            <w:tcW w:w="12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495</w:t>
            </w:r>
          </w:p>
        </w:tc>
        <w:tc>
          <w:tcPr>
            <w:tcW w:w="12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w:t>
            </w:r>
          </w:p>
        </w:tc>
        <w:tc>
          <w:tcPr>
            <w:tcW w:w="12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w:t>
            </w:r>
          </w:p>
        </w:tc>
        <w:tc>
          <w:tcPr>
            <w:tcW w:w="16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n/a</w:t>
            </w:r>
          </w:p>
        </w:tc>
        <w:tc>
          <w:tcPr>
            <w:tcW w:w="16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n/a</w:t>
            </w:r>
          </w:p>
        </w:tc>
      </w:tr>
      <w:tr>
        <w:trPr>
          <w:cantSplit/>
          <w:trHeight w:val="300" w:hRule="atLeast"/>
        </w:trPr>
        <w:tc>
          <w:tcPr>
            <w:tcW w:w="23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Engagement Manager</w:t>
            </w:r>
          </w:p>
        </w:tc>
        <w:tc>
          <w:tcPr>
            <w:tcW w:w="12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340</w:t>
            </w:r>
          </w:p>
        </w:tc>
        <w:tc>
          <w:tcPr>
            <w:tcW w:w="12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265</w:t>
            </w:r>
          </w:p>
        </w:tc>
        <w:tc>
          <w:tcPr>
            <w:tcW w:w="12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w:t>
            </w:r>
          </w:p>
        </w:tc>
        <w:tc>
          <w:tcPr>
            <w:tcW w:w="16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+15%</w:t>
            </w:r>
          </w:p>
        </w:tc>
        <w:tc>
          <w:tcPr>
            <w:tcW w:w="16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+25%</w:t>
            </w:r>
          </w:p>
        </w:tc>
      </w:tr>
      <w:tr>
        <w:trPr>
          <w:cantSplit/>
          <w:trHeight w:val="300" w:hRule="atLeast"/>
        </w:trPr>
        <w:tc>
          <w:tcPr>
            <w:tcW w:w="23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Senior Data Architect</w:t>
            </w:r>
          </w:p>
        </w:tc>
        <w:tc>
          <w:tcPr>
            <w:tcW w:w="12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310</w:t>
            </w:r>
          </w:p>
        </w:tc>
        <w:tc>
          <w:tcPr>
            <w:tcW w:w="12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245</w:t>
            </w:r>
          </w:p>
        </w:tc>
        <w:tc>
          <w:tcPr>
            <w:tcW w:w="12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175</w:t>
            </w:r>
          </w:p>
        </w:tc>
        <w:tc>
          <w:tcPr>
            <w:tcW w:w="16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+15%</w:t>
            </w:r>
          </w:p>
        </w:tc>
        <w:tc>
          <w:tcPr>
            <w:tcW w:w="16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+25%</w:t>
            </w:r>
          </w:p>
        </w:tc>
      </w:tr>
      <w:tr>
        <w:trPr>
          <w:cantSplit/>
          <w:trHeight w:val="300" w:hRule="atLeast"/>
        </w:trPr>
        <w:tc>
          <w:tcPr>
            <w:tcW w:w="23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Migration Developer</w:t>
            </w:r>
          </w:p>
        </w:tc>
        <w:tc>
          <w:tcPr>
            <w:tcW w:w="12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255</w:t>
            </w:r>
          </w:p>
        </w:tc>
        <w:tc>
          <w:tcPr>
            <w:tcW w:w="12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195</w:t>
            </w:r>
          </w:p>
        </w:tc>
        <w:tc>
          <w:tcPr>
            <w:tcW w:w="12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135</w:t>
            </w:r>
          </w:p>
        </w:tc>
        <w:tc>
          <w:tcPr>
            <w:tcW w:w="16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+15%</w:t>
            </w:r>
          </w:p>
        </w:tc>
        <w:tc>
          <w:tcPr>
            <w:tcW w:w="16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+25%</w:t>
            </w:r>
          </w:p>
        </w:tc>
      </w:tr>
      <w:tr>
        <w:trPr>
          <w:cantSplit/>
          <w:trHeight w:val="300" w:hRule="atLeast"/>
        </w:trPr>
        <w:tc>
          <w:tcPr>
            <w:tcW w:w="23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Test Analyst</w:t>
            </w:r>
          </w:p>
        </w:tc>
        <w:tc>
          <w:tcPr>
            <w:tcW w:w="12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205</w:t>
            </w:r>
          </w:p>
        </w:tc>
        <w:tc>
          <w:tcPr>
            <w:tcW w:w="12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160</w:t>
            </w:r>
          </w:p>
        </w:tc>
        <w:tc>
          <w:tcPr>
            <w:tcW w:w="12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110</w:t>
            </w:r>
          </w:p>
        </w:tc>
        <w:tc>
          <w:tcPr>
            <w:tcW w:w="16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+15%</w:t>
            </w:r>
          </w:p>
        </w:tc>
        <w:tc>
          <w:tcPr>
            <w:tcW w:w="16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+25%</w:t>
            </w:r>
          </w:p>
        </w:tc>
      </w:tr>
      <w:tr>
        <w:trPr>
          <w:cantSplit/>
          <w:trHeight w:val="300" w:hRule="atLeast"/>
        </w:trPr>
        <w:tc>
          <w:tcPr>
            <w:tcW w:w="23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Cutover Coordinator</w:t>
            </w:r>
          </w:p>
        </w:tc>
        <w:tc>
          <w:tcPr>
            <w:tcW w:w="12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230</w:t>
            </w:r>
          </w:p>
        </w:tc>
        <w:tc>
          <w:tcPr>
            <w:tcW w:w="12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180</w:t>
            </w:r>
          </w:p>
        </w:tc>
        <w:tc>
          <w:tcPr>
            <w:tcW w:w="12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w:t>
            </w:r>
          </w:p>
        </w:tc>
        <w:tc>
          <w:tcPr>
            <w:tcW w:w="16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+15%</w:t>
            </w:r>
          </w:p>
        </w:tc>
        <w:tc>
          <w:tcPr>
            <w:tcW w:w="164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+25%</w:t>
            </w:r>
          </w:p>
        </w:tc>
      </w:tr>
    </w:tbl>
    <w:p>
      <w:pPr>
        <w:spacing w:before="80" w:after="0" w:line="20" w:lineRule="exact"/>
      </w:pPr>
    </w:p>
    <w:p>
      <w:pPr>
        <w:pStyle w:val="Heading2"/>
        <w:keepNext/>
        <w:keepLines/>
        <w:spacing w:line="276" w:lineRule="auto"/>
        <w:jc w:val="left"/>
        <w:outlineLvl w:val="1"/>
      </w:pPr>
      <w:r>
        <w:rPr>
          <w:rFonts w:ascii="Calibri" w:hAnsi="Calibri" w:cs="Calibri"/>
          <w:noProof/>
          <w:color w:val="000000"/>
          <w:sz w:val="40"/>
          <w:szCs w:val="40"/>
        </w:rPr>
        <w:t xml:space="preserve">5. Expenses</w:t>
      </w:r>
    </w:p>
    <w:p>
      <w:pPr>
        <w:spacing w:line="276" w:lineRule="auto"/>
        <w:jc w:val="both"/>
      </w:pPr>
      <w:r>
        <w:rPr>
          <w:rFonts w:ascii="Calibri" w:hAnsi="Calibri" w:cs="Calibri"/>
          <w:noProof/>
          <w:color w:val="000000"/>
          <w:sz w:val="22"/>
          <w:szCs w:val="22"/>
        </w:rPr>
        <w:t xml:space="preserve">5.1 Client will reimburse reasonable, pre-approved travel and lodging expenses at cost, capped at eight percent (8%) of total fixed fees, invoiced monthly with receipts for any item over USD 25. Airfare above economy class and alcohol are not reimbursable.</w:t>
      </w:r>
    </w:p>
    <w:p>
      <w:pPr>
        <w:pStyle w:val="Heading2"/>
        <w:keepNext/>
        <w:keepLines/>
        <w:spacing w:line="276" w:lineRule="auto"/>
        <w:jc w:val="left"/>
        <w:outlineLvl w:val="1"/>
      </w:pPr>
      <w:r>
        <w:rPr>
          <w:rFonts w:ascii="Calibri" w:hAnsi="Calibri" w:cs="Calibri"/>
          <w:noProof/>
          <w:color w:val="000000"/>
          <w:sz w:val="40"/>
          <w:szCs w:val="40"/>
        </w:rPr>
        <w:t xml:space="preserve">6. Client Obligations and Assumptions</w:t>
      </w:r>
    </w:p>
    <w:p>
      <w:pPr>
        <w:spacing w:line="276" w:lineRule="auto"/>
        <w:jc w:val="both"/>
      </w:pPr>
      <w:r>
        <w:rPr>
          <w:rFonts w:ascii="Calibri" w:hAnsi="Calibri" w:cs="Calibri"/>
          <w:noProof/>
          <w:color w:val="000000"/>
          <w:sz w:val="22"/>
          <w:szCs w:val="22"/>
        </w:rPr>
        <w:t xml:space="preserve">6.1 The fees and timeline in this SOW are based on the following assumptions. If an assumption proves materially inaccurate, the parties will process an equitable adjustment through the change order process:</w:t>
      </w:r>
    </w:p>
    <w:p>
      <w:pPr>
        <w:pStyle w:val="ListParagraph"/>
        <w:numPr>
          <w:ilvl w:val="0"/>
          <w:numId w:val="1"/>
        </w:numPr>
        <w:spacing w:line="276" w:lineRule="auto"/>
        <w:jc w:val="left"/>
      </w:pPr>
      <w:r>
        <w:rPr>
          <w:rFonts w:ascii="Calibri" w:hAnsi="Calibri" w:cs="Calibri"/>
          <w:noProof/>
          <w:color w:val="000000"/>
          <w:sz w:val="22"/>
          <w:szCs w:val="22"/>
        </w:rPr>
        <w:t xml:space="preserve">Client provides Consultant with remote VPN access and appropriately provisioned SAP user accounts within five (5) business days of the SOW effective date;</w:t>
      </w:r>
    </w:p>
    <w:p>
      <w:pPr>
        <w:pStyle w:val="ListParagraph"/>
        <w:numPr>
          <w:ilvl w:val="0"/>
          <w:numId w:val="1"/>
        </w:numPr>
        <w:spacing w:line="276" w:lineRule="auto"/>
        <w:jc w:val="left"/>
      </w:pPr>
      <w:r>
        <w:rPr>
          <w:rFonts w:ascii="Calibri" w:hAnsi="Calibri" w:cs="Calibri"/>
          <w:noProof/>
          <w:color w:val="000000"/>
          <w:sz w:val="22"/>
          <w:szCs w:val="22"/>
        </w:rPr>
        <w:t xml:space="preserve">Client makes data stewards for each object domain available for up to ten (10) hours per week during cleansing cycles;</w:t>
      </w:r>
    </w:p>
    <w:p>
      <w:pPr>
        <w:pStyle w:val="ListParagraph"/>
        <w:numPr>
          <w:ilvl w:val="0"/>
          <w:numId w:val="1"/>
        </w:numPr>
        <w:spacing w:line="276" w:lineRule="auto"/>
        <w:jc w:val="left"/>
      </w:pPr>
      <w:r>
        <w:rPr>
          <w:rFonts w:ascii="Calibri" w:hAnsi="Calibri" w:cs="Calibri"/>
          <w:noProof/>
          <w:color w:val="000000"/>
          <w:sz w:val="22"/>
          <w:szCs w:val="22"/>
        </w:rPr>
        <w:t xml:space="preserve">the S/4HANA quality environment is available and refreshed from production no later than July 6, 2026;</w:t>
      </w:r>
    </w:p>
    <w:p>
      <w:pPr>
        <w:pStyle w:val="ListParagraph"/>
        <w:numPr>
          <w:ilvl w:val="0"/>
          <w:numId w:val="1"/>
        </w:numPr>
        <w:spacing w:line="276" w:lineRule="auto"/>
        <w:jc w:val="left"/>
      </w:pPr>
      <w:r>
        <w:rPr>
          <w:rFonts w:ascii="Calibri" w:hAnsi="Calibri" w:cs="Calibri"/>
          <w:noProof/>
          <w:color w:val="000000"/>
          <w:sz w:val="22"/>
          <w:szCs w:val="22"/>
        </w:rPr>
        <w:t xml:space="preserve">Client's system integrator remains responsible for functional configuration and completes dependent configuration no later than August 21, 2026;</w:t>
      </w:r>
    </w:p>
    <w:p>
      <w:pPr>
        <w:pStyle w:val="ListParagraph"/>
        <w:numPr>
          <w:ilvl w:val="0"/>
          <w:numId w:val="1"/>
        </w:numPr>
        <w:spacing w:line="276" w:lineRule="auto"/>
        <w:jc w:val="left"/>
      </w:pPr>
      <w:r>
        <w:rPr>
          <w:rFonts w:ascii="Calibri" w:hAnsi="Calibri" w:cs="Calibri"/>
          <w:noProof/>
          <w:color w:val="000000"/>
          <w:sz w:val="22"/>
          <w:szCs w:val="22"/>
        </w:rPr>
        <w:t xml:space="preserve">the go-live date of November 15, 2026 will not move by more than one calendar week without a change order; and</w:t>
      </w:r>
    </w:p>
    <w:p>
      <w:pPr>
        <w:pStyle w:val="ListParagraph"/>
        <w:numPr>
          <w:ilvl w:val="0"/>
          <w:numId w:val="1"/>
        </w:numPr>
        <w:spacing w:line="276" w:lineRule="auto"/>
        <w:jc w:val="left"/>
      </w:pPr>
      <w:r>
        <w:rPr>
          <w:rFonts w:ascii="Calibri" w:hAnsi="Calibri" w:cs="Calibri"/>
          <w:noProof/>
          <w:color w:val="000000"/>
          <w:sz w:val="22"/>
          <w:szCs w:val="22"/>
        </w:rPr>
        <w:t xml:space="preserve">Client holds all licenses required for Syniti ADM and the SAP Migration Cockpit.</w:t>
      </w:r>
    </w:p>
    <w:p>
      <w:pPr>
        <w:pStyle w:val="Heading2"/>
        <w:keepNext/>
        <w:keepLines/>
        <w:spacing w:line="276" w:lineRule="auto"/>
        <w:jc w:val="left"/>
        <w:outlineLvl w:val="1"/>
      </w:pPr>
      <w:r>
        <w:rPr>
          <w:rFonts w:ascii="Calibri" w:hAnsi="Calibri" w:cs="Calibri"/>
          <w:noProof/>
          <w:color w:val="000000"/>
          <w:sz w:val="40"/>
          <w:szCs w:val="40"/>
        </w:rPr>
        <w:t xml:space="preserve">7. Key Personnel</w:t>
      </w:r>
    </w:p>
    <w:p>
      <w:pPr>
        <w:spacing w:line="276" w:lineRule="auto"/>
        <w:jc w:val="both"/>
      </w:pPr>
      <w:r>
        <w:rPr>
          <w:rFonts w:ascii="Calibri" w:hAnsi="Calibri" w:cs="Calibri"/>
          <w:noProof/>
          <w:color w:val="000000"/>
          <w:sz w:val="22"/>
          <w:szCs w:val="22"/>
        </w:rPr>
        <w:t xml:space="preserve">7.1 Nathan Cho (Partner) and Ingrid Steensen (Senior Data Architect) are Key Personnel. Consultant will not reassign Key Personnel before Milestone M4 without Client's prior written consent, not to be unreasonably withheld, and will provide replacements of substantially equivalent qualification at no additional cost for ramp-up time.</w:t>
      </w:r>
    </w:p>
    <w:p>
      <w:pPr>
        <w:pStyle w:val="Heading2"/>
        <w:keepNext/>
        <w:keepLines/>
        <w:spacing w:line="276" w:lineRule="auto"/>
        <w:jc w:val="left"/>
        <w:outlineLvl w:val="1"/>
      </w:pPr>
      <w:r>
        <w:rPr>
          <w:rFonts w:ascii="Calibri" w:hAnsi="Calibri" w:cs="Calibri"/>
          <w:noProof/>
          <w:color w:val="000000"/>
          <w:sz w:val="40"/>
          <w:szCs w:val="40"/>
        </w:rPr>
        <w:t xml:space="preserve">8. Acceptance</w:t>
      </w:r>
    </w:p>
    <w:p>
      <w:pPr>
        <w:spacing w:line="276" w:lineRule="auto"/>
        <w:jc w:val="both"/>
      </w:pPr>
      <w:r>
        <w:rPr>
          <w:rFonts w:ascii="Calibri" w:hAnsi="Calibri" w:cs="Calibri"/>
          <w:noProof/>
          <w:color w:val="000000"/>
          <w:sz w:val="22"/>
          <w:szCs w:val="22"/>
        </w:rPr>
        <w:t xml:space="preserve">By signing below, each party agrees to the terms of this SOW as of the date first written above. This SOW may be executed in counterparts, including by electronic signature.</w:t>
      </w:r>
    </w:p>
    <w:tbl>
      <w:tblPr>
        <w:tblW w:w="9360" w:type="dxa"/>
        <w:tblBorders>
          <w:top w:val="nil"/>
          <w:left w:val="nil"/>
          <w:bottom w:val="nil"/>
          <w:right w:val="nil"/>
          <w:insideH w:val="nil"/>
          <w:insideV w:val="nil"/>
        </w:tblBorders>
        <w:tblLayout w:type="fixed"/>
        <w:tblCellMar>
          <w:top w:w="72" w:type="dxa"/>
          <w:left w:w="108" w:type="dxa"/>
          <w:bottom w:w="72" w:type="dxa"/>
          <w:right w:w="108" w:type="dxa"/>
        </w:tblCellMar>
        <w:tblCaption w:val="Acceptance signature block"/>
      </w:tblPr>
      <w:tblGrid>
        <w:gridCol w:w="4680"/>
        <w:gridCol w:w="4680"/>
      </w:tblGrid>
      <w:tr>
        <w:trPr>
          <w:cantSplit/>
          <w:trHeight w:val="300" w:hRule="atLeast"/>
          <w:tblHeader/>
        </w:trPr>
        <w:tc>
          <w:tcPr>
            <w:tcW w:w="4680" w:type="dxa"/>
            <w:tcMar>
              <w:top w:w="30" w:type="dxa"/>
              <w:left w:w="75" w:type="dxa"/>
              <w:bottom w:w="30" w:type="dxa"/>
              <w:right w:w="75" w:type="dxa"/>
            </w:tcMar>
            <w:vAlign w:val="top"/>
          </w:tcPr>
          <w:p>
            <w:pPr>
              <w:spacing w:line="276" w:lineRule="auto"/>
              <w:jc w:val="left"/>
            </w:pPr>
            <w:r>
              <w:rPr>
                <w:rFonts w:ascii="Calibri" w:hAnsi="Calibri" w:cs="Calibri"/>
                <w:b/>
                <w:noProof/>
                <w:color w:val="000000"/>
                <w:sz w:val="22"/>
                <w:szCs w:val="22"/>
              </w:rPr>
              <w:t xml:space="preserve">PINEWOOD BEVERAGE COMPANY, INC.</w:t>
            </w:r>
          </w:p>
        </w:tc>
        <w:tc>
          <w:tcPr>
            <w:tcW w:w="4680" w:type="dxa"/>
            <w:tcMar>
              <w:top w:w="30" w:type="dxa"/>
              <w:left w:w="75" w:type="dxa"/>
              <w:bottom w:w="30" w:type="dxa"/>
              <w:right w:w="75" w:type="dxa"/>
            </w:tcMar>
            <w:vAlign w:val="top"/>
          </w:tcPr>
          <w:p>
            <w:pPr>
              <w:spacing w:line="276" w:lineRule="auto"/>
              <w:jc w:val="left"/>
            </w:pPr>
            <w:r>
              <w:rPr>
                <w:rFonts w:ascii="Calibri" w:hAnsi="Calibri" w:cs="Calibri"/>
                <w:b/>
                <w:noProof/>
                <w:color w:val="000000"/>
                <w:sz w:val="22"/>
                <w:szCs w:val="22"/>
              </w:rPr>
              <w:t xml:space="preserve">BRAMWELL &amp; CHO ADVISORY LLP</w:t>
            </w:r>
          </w:p>
        </w:tc>
      </w:tr>
      <w:tr>
        <w:trPr>
          <w:cantSplit/>
          <w:trHeight w:val="300" w:hRule="atLeast"/>
        </w:trPr>
        <w:tc>
          <w:tcPr>
            <w:tcW w:w="468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By: _____________________________</w:t>
            </w:r>
          </w:p>
        </w:tc>
        <w:tc>
          <w:tcPr>
            <w:tcW w:w="468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By: _____________________________</w:t>
            </w:r>
          </w:p>
        </w:tc>
      </w:tr>
      <w:tr>
        <w:trPr>
          <w:cantSplit/>
          <w:trHeight w:val="300" w:hRule="atLeast"/>
        </w:trPr>
        <w:tc>
          <w:tcPr>
            <w:tcW w:w="468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Name: Rosa Delgado</w:t>
            </w:r>
          </w:p>
        </w:tc>
        <w:tc>
          <w:tcPr>
            <w:tcW w:w="468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Name: Nathan Cho</w:t>
            </w:r>
          </w:p>
        </w:tc>
      </w:tr>
      <w:tr>
        <w:trPr>
          <w:cantSplit/>
          <w:trHeight w:val="300" w:hRule="atLeast"/>
        </w:trPr>
        <w:tc>
          <w:tcPr>
            <w:tcW w:w="468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Title: VP Enterprise Applications</w:t>
            </w:r>
          </w:p>
        </w:tc>
        <w:tc>
          <w:tcPr>
            <w:tcW w:w="468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Title: Partner</w:t>
            </w:r>
          </w:p>
        </w:tc>
      </w:tr>
      <w:tr>
        <w:trPr>
          <w:cantSplit/>
          <w:trHeight w:val="300" w:hRule="atLeast"/>
        </w:trPr>
        <w:tc>
          <w:tcPr>
            <w:tcW w:w="468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Date: ___________________________</w:t>
            </w:r>
          </w:p>
        </w:tc>
        <w:tc>
          <w:tcPr>
            <w:tcW w:w="468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Date: ___________________________</w:t>
            </w:r>
          </w:p>
        </w:tc>
      </w:tr>
    </w:tbl>
    <w:p>
      <w:pPr>
        <w:spacing w:before="80" w:after="0" w:line="20" w:lineRule="exact"/>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w="http://schemas.openxmlformats.org/wordprocessingml/2006/main">
  <w:font w:name="Arial"/>
  <w:font w:name="Calibri"/>
  <w:font w:name="Calibri Light"/>
  <w:font w:name="Cambria"/>
  <w:font w:name="Consolas"/>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680"/>
        <w:tab w:val="right" w:pos="9360"/>
      </w:tabs>
      <w:spacing w:line="276" w:lineRule="auto"/>
      <w:jc w:val="left"/>
    </w:pPr>
    <w:r>
      <w:rPr>
        <w:rFonts w:ascii="Calibri" w:hAnsi="Calibri" w:cs="Calibri"/>
        <w:noProof/>
        <w:color w:val="000000"/>
        <w:sz w:val="22"/>
        <w:szCs w:val="22"/>
      </w:rPr>
      <w:t xml:space="preserve">SOW No. 3 (Project Kestrel) under MCA dated 11 September 2024 — Confidential </w:t>
    </w:r>
    <w:r>
      <w:fldChar w:fldCharType="begin"/>
    </w:r>
    <w:r>
      <w:instrText xml:space="preserve"> PAGE </w:instrText>
    </w:r>
    <w:r>
      <w:fldChar w:fldCharType="separate"/>
    </w:r>
    <w:r>
      <w:t>1</w:t>
    </w:r>
    <w:r>
      <w:fldChar w:fldCharType="end"/>
    </w:r>
    <w:r>
      <w:rPr>
        <w:rFonts w:ascii="Calibri" w:hAnsi="Calibri" w:cs="Calibri"/>
        <w:noProof/>
        <w:color w:val="000000"/>
        <w:sz w:val="22"/>
        <w:szCs w:val="22"/>
      </w:rPr>
      <w:t xml:space="preserve"> of </w:t>
    </w:r>
    <w:r>
      <w:fldChar w:fldCharType="begin"/>
    </w:r>
    <w:r>
      <w:instrText xml:space="preserve"> NUMPAGES </w:instrText>
    </w:r>
    <w:r>
      <w:fldChar w:fldCharType="separate"/>
    </w:r>
    <w:r>
      <w:t>1</w:t>
    </w:r>
    <w:r>
      <w:fldChar w:fldCharType="end"/>
    </w:r>
  </w:p>
</w:ftr>
</file>

<file path=word/numbering.xml><?xml version="1.0" encoding="utf-8"?>
<w:numbering xmlns:w="http://schemas.openxmlformats.org/wordprocessingml/2006/main">
  <w:abstractNum w:abstractNumId="1">
    <w:nsid w:val="A2FAF431"/>
    <w:multiLevelType w:val="hybridMultilevel"/>
    <w:tmpl w:val="A1FAF29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mc:Ignorable="w14 w15">
  <w:zoom w:percent="100"/>
  <w:defaultTabStop w:val="720"/>
  <w:characterSpacingControl w:val="doNotCompress"/>
  <w:updateFields w:val="true"/>
  <w:compat>
    <w:compatSetting w:name="compatibilityMode" w:uri="http://schemas.microsoft.com/office/word" w:val="15"/>
  </w:compat>
  <w:rsids>
    <w:rsidRoot w:val="CF3C7919"/>
    <w:rsid w:val="7CA975AC"/>
    <w:rsid w:val="7DA9773F"/>
  </w:rsids>
</w:settings>
</file>

<file path=word/styles.xml><?xml version="1.0" encoding="utf-8"?>
<w:styles xmlns:w="http://schemas.openxmlformats.org/wordprocessingml/2006/main" xmlns:w14="http://schemas.microsoft.com/office/word/2010/wordml">
  <w:docDefaults>
    <w:rPrDefault>
      <w:rPr>
        <w:rFonts w:ascii="Calibri" w:hAnsi="Calibri" w:cs="Calibri"/>
        <w:sz w:val="22"/>
        <w:szCs w:val="22"/>
        <w:lang w:val="en-US" w:eastAsia="en-US" w:bidi="ar-SA"/>
      </w:rPr>
    </w:rPrDefault>
    <w:pPrDefault>
      <w:pPr>
        <w:spacing w:after="160" w:line="276" w:lineRule="auto"/>
      </w:pPr>
    </w:pPrDefault>
  </w:docDefaults>
  <w:latentStyles w:defLockedState="0" w:defUIPriority="99" w:defSemiHidden="0" w:defUnhideWhenUsed="0" w:defQFormat="0" w:count="376"/>
  <w:style w:type="paragraph" w:styleId="Normal" w:default="1">
    <w:name w:val="Normal"/>
    <w:qFormat/>
    <w:pPr>
      <w:spacing w:after="160" w:line="276" w:lineRule="auto"/>
    </w:pPr>
    <w:rPr>
      <w:rFonts w:ascii="Calibri" w:hAnsi="Calibri" w:cs="Calibri"/>
      <w:sz w:val="22"/>
      <w:szCs w:val="22"/>
    </w:rPr>
  </w:style>
  <w:style w:type="paragraph" w:styleId="Title">
    <w:name w:val="Title"/>
    <w:basedOn w:val="Normal"/>
    <w:qFormat/>
    <w:pPr>
      <w:spacing w:before="240" w:after="160"/>
    </w:pPr>
    <w:rPr>
      <w:rFonts w:ascii="Calibri Light" w:hAnsi="Calibri Light" w:cs="Calibri Light"/>
      <w:color w:val="1F4E79"/>
      <w:sz w:val="44"/>
      <w:szCs w:val="44"/>
    </w:rPr>
  </w:style>
  <w:style w:type="paragraph" w:styleId="Subtitle">
    <w:name w:val="Subtitle"/>
    <w:basedOn w:val="Normal"/>
    <w:qFormat/>
    <w:pPr>
      <w:spacing w:after="120"/>
    </w:pPr>
    <w:rPr>
      <w:rFonts w:ascii="Calibri" w:hAnsi="Calibri" w:cs="Calibri"/>
      <w:color w:val="5B5B5B"/>
      <w:sz w:val="28"/>
      <w:szCs w:val="28"/>
    </w:rPr>
  </w:style>
  <w:style w:type="paragraph" w:styleId="Heading1">
    <w:name w:val="heading 1"/>
    <w:basedOn w:val="Normal"/>
    <w:next w:val="Normal"/>
    <w:qFormat/>
    <w:pPr>
      <w:keepNext/>
      <w:keepLines/>
      <w:spacing w:before="240" w:after="80"/>
      <w:outlineLvl w:val="0"/>
    </w:pPr>
    <w:rPr>
      <w:rFonts w:ascii="Calibri Light" w:hAnsi="Calibri Light" w:cs="Calibri Light"/>
      <w:b/>
      <w:color w:val="2F5597"/>
      <w:sz w:val="36"/>
      <w:szCs w:val="36"/>
    </w:rPr>
  </w:style>
  <w:style w:type="paragraph" w:styleId="Heading2">
    <w:name w:val="heading 2"/>
    <w:basedOn w:val="Normal"/>
    <w:next w:val="Normal"/>
    <w:qFormat/>
    <w:pPr>
      <w:keepNext/>
      <w:keepLines/>
      <w:spacing w:before="180" w:after="60"/>
      <w:outlineLvl w:val="1"/>
    </w:pPr>
    <w:rPr>
      <w:rFonts w:ascii="Calibri Light" w:hAnsi="Calibri Light" w:cs="Calibri Light"/>
      <w:b/>
      <w:color w:val="2F5597"/>
      <w:sz w:val="32"/>
      <w:szCs w:val="32"/>
    </w:rPr>
  </w:style>
  <w:style w:type="paragraph" w:styleId="Heading3">
    <w:name w:val="heading 3"/>
    <w:basedOn w:val="Normal"/>
    <w:next w:val="Normal"/>
    <w:qFormat/>
    <w:pPr>
      <w:keepNext/>
      <w:keepLines/>
      <w:spacing w:before="140" w:after="40"/>
      <w:outlineLvl w:val="2"/>
    </w:pPr>
    <w:rPr>
      <w:rFonts w:ascii="Calibri" w:hAnsi="Calibri" w:cs="Calibri"/>
      <w:b/>
      <w:color w:val="1F3763"/>
      <w:sz w:val="28"/>
      <w:szCs w:val="28"/>
    </w:rPr>
  </w:style>
  <w:style w:type="paragraph" w:styleId="Heading4">
    <w:name w:val="heading 4"/>
    <w:basedOn w:val="Normal"/>
    <w:next w:val="Normal"/>
    <w:qFormat/>
    <w:pPr>
      <w:keepNext/>
      <w:keepLines/>
      <w:spacing w:before="120" w:after="20"/>
      <w:outlineLvl w:val="3"/>
    </w:pPr>
    <w:rPr>
      <w:rFonts w:ascii="Calibri" w:hAnsi="Calibri" w:cs="Calibri"/>
      <w:b/>
      <w:color w:val="1F3763"/>
      <w:sz w:val="26"/>
      <w:szCs w:val="26"/>
    </w:rPr>
  </w:style>
  <w:style w:type="paragraph" w:styleId="Heading5">
    <w:name w:val="heading 5"/>
    <w:basedOn w:val="Normal"/>
    <w:next w:val="Normal"/>
    <w:qFormat/>
    <w:pPr>
      <w:keepNext/>
      <w:keepLines/>
      <w:spacing w:before="120" w:after="20"/>
      <w:outlineLvl w:val="4"/>
    </w:pPr>
    <w:rPr>
      <w:rFonts w:ascii="Calibri" w:hAnsi="Calibri" w:cs="Calibri"/>
      <w:b/>
      <w:color w:val="1F3763"/>
      <w:sz w:val="24"/>
      <w:szCs w:val="24"/>
    </w:rPr>
  </w:style>
  <w:style w:type="paragraph" w:styleId="Heading6">
    <w:name w:val="heading 6"/>
    <w:basedOn w:val="Normal"/>
    <w:next w:val="Normal"/>
    <w:qFormat/>
    <w:pPr>
      <w:keepNext/>
      <w:keepLines/>
      <w:spacing w:before="120" w:after="20"/>
      <w:outlineLvl w:val="5"/>
    </w:pPr>
    <w:rPr>
      <w:rFonts w:ascii="Calibri" w:hAnsi="Calibri" w:cs="Calibri"/>
      <w:b/>
      <w:color w:val="1F3763"/>
      <w:sz w:val="22"/>
      <w:szCs w:val="22"/>
    </w:rPr>
  </w:style>
  <w:style w:type="paragraph" w:styleId="CodeBlock">
    <w:name w:val="Code Block"/>
    <w:basedOn w:val="Normal"/>
    <w:qFormat/>
    <w:pPr>
      <w:spacing w:before="80" w:after="80" w:line="240" w:lineRule="auto"/>
    </w:pPr>
    <w:rPr>
      <w:rFonts w:ascii="Consolas" w:hAnsi="Consolas" w:cs="Consolas"/>
      <w:noProof/>
      <w:sz w:val="20"/>
      <w:szCs w:val="20"/>
    </w:rPr>
  </w:style>
  <w:style w:type="paragraph" w:styleId="Divider">
    <w:name w:val="Divider"/>
    <w:basedOn w:val="Normal"/>
    <w:qFormat/>
    <w:pPr>
      <w:spacing w:before="80" w:after="80"/>
    </w:pPr>
  </w:style>
  <w:style w:type="paragraph" w:styleId="ListParagraph">
    <w:name w:val="List Paragraph"/>
    <w:basedOn w:val="Normal"/>
    <w:qFormat/>
    <w:pPr>
      <w:ind w:left="720" w:hanging="360"/>
      <w:contextualSpacing/>
    </w:pPr>
  </w:style>
  <w:style w:type="paragraph" w:styleId="NoSpacing">
    <w:name w:val="No Spacing"/>
    <w:basedOn w:val="Normal"/>
    <w:qFormat/>
  </w:style>
  <w:style w:type="paragraph" w:styleId="Quote">
    <w:name w:val="Quote"/>
    <w:basedOn w:val="Normal"/>
    <w:qFormat/>
    <w:pPr>
      <w:spacing w:before="120" w:after="120"/>
    </w:pPr>
    <w:rPr>
      <w:i/>
      <w:color w:val="666666"/>
    </w:rPr>
  </w:style>
  <w:style w:type="paragraph" w:styleId="IntenseQuote">
    <w:name w:val="Intense Quote"/>
    <w:basedOn w:val="Quote"/>
    <w:qFormat/>
    <w:pPr>
      <w:spacing w:before="160" w:after="160"/>
    </w:pPr>
    <w:rPr>
      <w:i/>
      <w:color w:val="2F5597"/>
    </w:rPr>
  </w:style>
  <w:style w:type="paragraph" w:styleId="Header">
    <w:name w:val="Header"/>
    <w:basedOn w:val="Normal"/>
    <w:qFormat/>
    <w:pPr>
      <w:jc w:val="right"/>
    </w:pPr>
    <w:rPr>
      <w:color w:val="666666"/>
      <w:sz w:val="20"/>
      <w:szCs w:val="20"/>
    </w:rPr>
  </w:style>
  <w:style w:type="paragraph" w:styleId="Footer">
    <w:name w:val="Footer"/>
    <w:basedOn w:val="Normal"/>
    <w:qFormat/>
    <w:pPr>
      <w:jc w:val="center"/>
    </w:pPr>
    <w:rPr>
      <w:color w:val="666666"/>
      <w:sz w:val="20"/>
      <w:szCs w:val="20"/>
    </w:rPr>
  </w:style>
  <w:style w:type="character" w:styleId="DefaultParagraphFont">
    <w:name w:val="Default Paragraph Font"/>
  </w:style>
  <w:style w:type="character" w:styleId="Hyperlink">
    <w:name w:val="Hyperlink"/>
    <w:rPr>
      <w:color w:val="0563C1"/>
      <w:u w:val="single"/>
    </w:rPr>
  </w:style>
  <w:style w:type="character" w:styleId="Strong">
    <w:name w:val="Strong"/>
    <w:rPr>
      <w:b/>
    </w:rPr>
  </w:style>
  <w:style w:type="character" w:styleId="Emphasis">
    <w:name w:val="Emphasis"/>
    <w:rPr>
      <w:i/>
    </w:rPr>
  </w:style>
  <w:style w:type="character" w:styleId="Code">
    <w:name w:val="Code"/>
    <w:rPr>
      <w:rFonts w:ascii="Consolas" w:hAnsi="Consolas" w:cs="Consolas"/>
      <w:noProof/>
      <w:sz w:val="20"/>
      <w:szCs w:val="20"/>
    </w:rPr>
  </w:style>
  <w:style w:type="paragraph" w:styleId="FootnoteText">
    <w:name w:val="footnote text"/>
    <w:basedOn w:val="Normal"/>
    <w:qFormat/>
    <w:rPr>
      <w:sz w:val="20"/>
      <w:szCs w:val="20"/>
    </w:rPr>
  </w:style>
  <w:style w:type="character" w:styleId="FootnoteReference">
    <w:name w:val="footnote reference"/>
    <w:rPr>
      <w:vertAlign w:val="superscript"/>
    </w:rPr>
  </w:style>
  <w:style w:type="paragraph" w:styleId="EndnoteText">
    <w:name w:val="endnote text"/>
    <w:basedOn w:val="Normal"/>
    <w:qFormat/>
    <w:rPr>
      <w:sz w:val="20"/>
      <w:szCs w:val="20"/>
    </w:rPr>
  </w:style>
  <w:style w:type="character" w:styleId="EndnoteReference">
    <w:name w:val="endnote reference"/>
    <w:rPr>
      <w:vertAlign w:val="superscript"/>
    </w:rPr>
  </w:style>
  <w:style w:type="paragraph" w:styleId="CommentText">
    <w:name w:val="comment text"/>
    <w:basedOn w:val="Normal"/>
    <w:qFormat/>
    <w:rPr>
      <w:sz w:val="20"/>
      <w:szCs w:val="20"/>
    </w:rPr>
  </w:style>
  <w:style w:type="character" w:styleId="CommentReference">
    <w:name w:val="comment reference"/>
    <w:rPr>
      <w:sz w:val="16"/>
      <w:szCs w:val="16"/>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openxmlformats.org/officeDocument/2006/relationships/footer" Target="footer1.xml"/><Relationship Id="rId10" Type="http://schemas.openxmlformats.org/officeDocument/2006/relationships/numbering" Target="numbering.xml"/></Relationships>
</file>

<file path=word/theme/theme1.xml><?xml version="1.0" encoding="utf-8"?>
<a:theme xmlns:a="http://schemas.openxmlformats.org/drawingml/2006/main" name="PaperJSX Theme">
  <a:themeElements>
    <a:clrScheme name="PaperJSX Colors">
      <a:dk1>
        <a:srgbClr val="000000"/>
      </a:dk1>
      <a:lt1>
        <a:srgbClr val="FFFFFF"/>
      </a:lt1>
      <a:dk2>
        <a:srgbClr val="1F1F1F"/>
      </a:dk2>
      <a:lt2>
        <a:srgbClr val="F5F5F5"/>
      </a:lt2>
      <a:accent1>
        <a:srgbClr val="2F5597"/>
      </a:accent1>
      <a:accent2>
        <a:srgbClr val="5B9BD5"/>
      </a:accent2>
      <a:accent3>
        <a:srgbClr val="70AD47"/>
      </a:accent3>
      <a:accent4>
        <a:srgbClr val="FFC000"/>
      </a:accent4>
      <a:accent5>
        <a:srgbClr val="4472C4"/>
      </a:accent5>
      <a:accent6>
        <a:srgbClr val="C00000"/>
      </a:accent6>
      <a:hlink>
        <a:srgbClr val="0563C1"/>
      </a:hlink>
      <a:folHlink>
        <a:srgbClr val="954F72"/>
      </a:folHlink>
    </a:clrScheme>
    <a:fontScheme name="PaperJSX Fonts">
      <a:majorFont>
        <a:latin typeface="Cambria"/>
        <a:ea typeface=""/>
        <a:cs typeface=""/>
      </a:majorFont>
      <a:minorFont>
        <a:latin typeface="Calibri"/>
        <a:ea typeface=""/>
        <a:cs typeface=""/>
      </a:minorFont>
    </a:fontScheme>
    <a:fmtScheme name="PaperJSX Forma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chemeClr>
            </a:gs>
            <a:gs pos="50000">
              <a:schemeClr val="phClr">
                <a:tint val="98000"/>
                <a:satMod val="130000"/>
              </a:schemeClr>
            </a:gs>
            <a:gs pos="100000">
              <a:schemeClr val="phClr">
                <a:shade val="63000"/>
                <a:satMod val="120000"/>
              </a:schemeClr>
            </a:gs>
          </a:gsLst>
          <a:path path="circle">
            <a:fillToRect l="50000" t="-80000" r="50000" b="18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PaperJSX</Application>
  <DocSecurity>0</DocSecurity>
  <ScaleCrop>false</ScaleCrop>
  <Company>PaperJSX</Company>
  <LinksUpToDate>false</LinksUpToDate>
  <SharedDoc>false</SharedDoc>
  <HyperlinksChanged>false</HyperlinksChanged>
  <AppVersion>16.0000</AppVersion>
  <Pages>1</Pages>
  <Words>0</Words>
  <Characters>0</Character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 No. 3 — ERP Data Migration (Project Kestrel)</dc:title>
  <dc:subject>Consulting Statement of Work</dc:subject>
  <dc:creator>@paperjsx/json-to-docx</dc:creator>
  <cp:keywords/>
  <dc:description/>
  <cp:lastModifiedBy>Bramwell &amp; Cho Advisory LLP</cp:lastModifiedBy>
  <dcterms:created xsi:type="dcterms:W3CDTF">2026-04-10T00:00:00.000Z</dcterms:created>
  <dcterms:modified xsi:type="dcterms:W3CDTF">2026-04-10T00:00:00.000Z</dcterms:modified>
</cp:coreProperties>
</file>