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body>
    <w:p>
      <w:pPr>
        <w:pStyle w:val="Heading1"/>
        <w:keepNext/>
        <w:keepLines/>
        <w:spacing w:line="276" w:lineRule="auto"/>
        <w:jc w:val="left"/>
        <w:outlineLvl w:val="0"/>
      </w:pPr>
      <w:bookmarkStart w:id="1" w:name="_Toc_market_entry_assessment_southea"/>
      <w:r>
        <w:rPr>
          <w:rFonts w:ascii="Calibri" w:hAnsi="Calibri" w:cs="Calibri"/>
          <w:noProof/>
          <w:color w:val="000000"/>
          <w:sz w:val="48"/>
          <w:szCs w:val="48"/>
        </w:rPr>
        <w:t xml:space="preserve">Market Entry Assessment: Southeast Asia Digital Payments</w:t>
      </w:r>
      <w:bookmarkEnd w:id="1"/>
    </w:p>
    <w:p>
      <w:pPr>
        <w:spacing w:line="276" w:lineRule="auto"/>
        <w:jc w:val="left"/>
      </w:pPr>
      <w:r>
        <w:rPr>
          <w:rFonts w:ascii="Calibri" w:hAnsi="Calibri" w:cs="Calibri"/>
          <w:i/>
          <w:noProof/>
          <w:color w:val="000000"/>
          <w:sz w:val="22"/>
          <w:szCs w:val="22"/>
        </w:rPr>
        <w:t xml:space="preserve">Prepared for the Executive Committee of Meridian Payments Group N.V.</w:t>
      </w:r>
    </w:p>
    <w:p>
      <w:pPr>
        <w:spacing w:line="276" w:lineRule="auto"/>
        <w:jc w:val="left"/>
      </w:pPr>
      <w:r>
        <w:rPr>
          <w:rFonts w:ascii="Calibri" w:hAnsi="Calibri" w:cs="Calibri"/>
          <w:noProof/>
          <w:color w:val="000000"/>
          <w:sz w:val="22"/>
          <w:szCs w:val="22"/>
        </w:rPr>
        <w:t xml:space="preserve">Final report — 14 July 2026. This document contains commercially sensitive market data and deal hypotheses. Distribution is restricted to the Executive Committee, the Supervisory Board, and named advisers under the engagement letter dated 2 March 2026.</w:t>
      </w:r>
    </w:p>
    <w:p>
      <w:pPr>
        <w:pStyle w:val="Divider"/>
        <w:pBdr>
          <w:bottom w:val="single" w:sz="8" w:space="1" w:color="CCCCCC"/>
        </w:pBdr>
        <w:spacing w:before="80" w:after="80"/>
        <w:jc w:val="left"/>
      </w:pPr>
    </w:p>
    <w:p>
      <w:pPr>
        <w:pStyle w:val="Heading2"/>
        <w:keepNext/>
        <w:keepLines/>
        <w:spacing w:line="276" w:lineRule="auto"/>
        <w:jc w:val="left"/>
        <w:outlineLvl w:val="1"/>
      </w:pPr>
      <w:bookmarkStart w:id="2" w:name="exec-summary"/>
      <w:r>
        <w:rPr>
          <w:rFonts w:ascii="Calibri" w:hAnsi="Calibri" w:cs="Calibri"/>
          <w:noProof/>
          <w:color w:val="000000"/>
          <w:sz w:val="40"/>
          <w:szCs w:val="40"/>
        </w:rPr>
        <w:t xml:space="preserve">Executive summary</w:t>
      </w:r>
      <w:bookmarkEnd w:id="2"/>
    </w:p>
    <w:p>
      <w:pPr>
        <w:spacing w:line="276" w:lineRule="auto"/>
        <w:jc w:val="left"/>
      </w:pPr>
      <w:r>
        <w:rPr>
          <w:rFonts w:ascii="Calibri" w:hAnsi="Calibri" w:cs="Calibri"/>
          <w:noProof/>
          <w:color w:val="000000"/>
          <w:sz w:val="22"/>
          <w:szCs w:val="22"/>
        </w:rPr>
        <w:t xml:space="preserve">Southeast Asia is the last large digital-payments market in which Meridian has no presence. Gross transaction value (GTV) across the six focus markets reached USD 1.14 trillion in 2025 and is forecast to grow at 14.8% per annum through 2030, roughly three times the growth rate of Meridian's core European footprint. Real-time payment rails (PromptPay, DuitNow, QRIS, InstaPay, PayNow, VietQR) are now interoperable across five of the six markets, materially lowering the technical barrier for a cross-border acquirer.</w:t>
      </w:r>
    </w:p>
    <w:p>
      <w:pPr>
        <w:spacing w:line="276" w:lineRule="auto"/>
        <w:jc w:val="left"/>
      </w:pPr>
      <w:r>
        <w:rPr>
          <w:rFonts w:ascii="Calibri" w:hAnsi="Calibri" w:cs="Calibri"/>
          <w:noProof/>
          <w:color w:val="000000"/>
          <w:sz w:val="22"/>
          <w:szCs w:val="22"/>
        </w:rPr>
        <w:t xml:space="preserve">We assessed three entry modes — greenfield licensing, acquisition of a regional acquirer, and a joint venture with a domestic bank — against Meridian's stated constraints: EUR 450 million maximum capital commitment, break-even within four years, and no dilution of the group's EBA-regulated e-money licence obligations. Our recommendation is a two-step entry: acquire PT Nusantara Pay (Indonesia, GTV USD 8.4 billion) in 2027 as the anchor, then passport the platform into Vietnam and the Philippines via local partnership agreements in 2028-2029.</w:t>
      </w:r>
    </w:p>
    <w:p>
      <w:pPr>
        <w:spacing w:line="276" w:lineRule="auto"/>
        <w:jc w:val="left"/>
      </w:pPr>
      <w:r>
        <w:rPr>
          <w:rFonts w:ascii="Calibri" w:hAnsi="Calibri" w:cs="Calibri"/>
          <w:b/>
          <w:noProof/>
          <w:color w:val="000000"/>
          <w:sz w:val="22"/>
          <w:szCs w:val="22"/>
        </w:rPr>
        <w:t xml:space="preserve">Headline conclusion: </w:t>
      </w:r>
      <w:r>
        <w:rPr>
          <w:rFonts w:ascii="Calibri" w:hAnsi="Calibri" w:cs="Calibri"/>
          <w:noProof/>
          <w:color w:val="000000"/>
          <w:sz w:val="22"/>
          <w:szCs w:val="22"/>
        </w:rPr>
        <w:t xml:space="preserve">Indonesia-first entry via acquisition offers a risk-adjusted NPV of EUR 610-740 million against EUR 380 million of committed capital, with break-even in year 3. Greenfield entry fails the break-even constraint in every scenario we modelled.</w:t>
      </w:r>
    </w:p>
    <w:p>
      <w:pPr>
        <w:pStyle w:val="Heading3"/>
        <w:keepNext/>
        <w:keepLines/>
        <w:spacing w:line="276" w:lineRule="auto"/>
        <w:jc w:val="left"/>
        <w:outlineLvl w:val="2"/>
      </w:pPr>
      <w:r>
        <w:rPr>
          <w:rFonts w:ascii="Calibri" w:hAnsi="Calibri" w:cs="Calibri"/>
          <w:noProof/>
          <w:color w:val="000000"/>
          <w:sz w:val="32"/>
          <w:szCs w:val="32"/>
        </w:rPr>
        <w:t xml:space="preserve">Key figures at a glance</w:t>
      </w: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Summary economics of the recommended entry path"/>
      </w:tblPr>
      <w:tblGrid>
        <w:gridCol w:w="2258"/>
        <w:gridCol w:w="2258"/>
        <w:gridCol w:w="2257"/>
        <w:gridCol w:w="2257"/>
      </w:tblGrid>
      <w:tr>
        <w:trPr>
          <w:cantSplit/>
          <w:trHeight w:val="300" w:hRule="atLeast"/>
          <w:tblHeader/>
        </w:trPr>
        <w:tc>
          <w:tcPr>
            <w:tcW w:w="2258"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Metric</w:t>
            </w:r>
          </w:p>
        </w:tc>
        <w:tc>
          <w:tcPr>
            <w:tcW w:w="2258"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2027 (entry year)</w:t>
            </w:r>
          </w:p>
        </w:tc>
        <w:tc>
          <w:tcPr>
            <w:tcW w:w="2257"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2029</w:t>
            </w:r>
          </w:p>
        </w:tc>
        <w:tc>
          <w:tcPr>
            <w:tcW w:w="2257"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2031</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GTV processed (USD bn)</w:t>
            </w:r>
          </w:p>
        </w:tc>
        <w:tc>
          <w:tcPr>
            <w:tcW w:w="2258"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8.4</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19.7</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36.2</w:t>
            </w:r>
          </w:p>
        </w:tc>
      </w:tr>
      <w:tr>
        <w:trPr>
          <w:cantSplit/>
          <w:trHeight w:val="300" w:hRule="atLeast"/>
        </w:trPr>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Net revenue (EUR m)</w:t>
            </w:r>
          </w:p>
        </w:tc>
        <w:tc>
          <w:tcPr>
            <w:tcW w:w="2258"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72</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188</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341</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EBITDA margin</w:t>
            </w:r>
          </w:p>
        </w:tc>
        <w:tc>
          <w:tcPr>
            <w:tcW w:w="2258"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-14%</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24%</w:t>
            </w:r>
          </w:p>
        </w:tc>
      </w:tr>
      <w:tr>
        <w:trPr>
          <w:cantSplit/>
          <w:trHeight w:val="300" w:hRule="atLeast"/>
        </w:trPr>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Cumulative capital deployed (EUR m)</w:t>
            </w:r>
          </w:p>
        </w:tc>
        <w:tc>
          <w:tcPr>
            <w:tcW w:w="2258"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310</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380</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380</w:t>
            </w:r>
          </w:p>
        </w:tc>
      </w:tr>
    </w:tbl>
    <w:p>
      <w:pPr>
        <w:spacing w:before="80" w:after="0" w:line="20" w:lineRule="exact"/>
        <w:sectPr>
          <w:headerReference w:type="default" r:id="rId9"/>
          <w:footerReference w:type="default" r:id="rId10"/>
          <w:pgSz w:w="11910" w:h="16845"/>
          <w:pgMar w:top="1440" w:right="1440" w:bottom="1440" w:left="1440" w:header="720" w:footer="720" w:gutter="0"/>
          <w:cols w:space="720"/>
          <w:docGrid w:linePitch="360"/>
        </w:sectPr>
      </w:pPr>
    </w:p>
    <w:sdt>
      <w:sdtPr>
        <w:docPartObj>
          <w:docPartGallery w:val="Table of Contents"/>
          <w:docPartUnique/>
        </w:docPartObj>
      </w:sdtPr>
      <w:sdtContent>
        <w:p>
          <w:pPr>
            <w:pStyle w:val="TOCHeading"/>
          </w:pPr>
          <w:r>
            <w:t>Contents</w:t>
          </w:r>
        </w:p>
        <w:p>
          <w:r>
            <w:fldChar w:fldCharType="begin"/>
          </w:r>
          <w:r>
            <w:instrText xml:space="preserve"> TOC \h \o "1-2" \z \u </w:instrText>
          </w:r>
          <w:r>
            <w:fldChar w:fldCharType="separate"/>
          </w:r>
        </w:p>
        <w:p>
          <w:pPr>
            <w:pStyle w:val="TOC1"/>
            <w:tabs>
              <w:tab w:val="right" w:leader="dot" w:pos="9030"/>
            </w:tabs>
          </w:pPr>
          <w:hyperlink w:anchor="_Toc_market_entry_assessment_southea">
            <w:r>
              <w:rPr>
                <w:noProof/>
              </w:rPr>
              <w:t>Market Entry Assessment: Southeast Asia Digital Payments</w:t>
            </w:r>
            <w:r>
              <w:rPr>
                <w:noProof/>
              </w:rPr>
              <w:tab/>
            </w:r>
            <w:r>
              <w:fldChar w:fldCharType="begin"/>
            </w:r>
            <w:r>
              <w:instrText xml:space="preserve"> PAGEREF _Toc_market_entry_assessment_southea \h </w:instrText>
            </w:r>
            <w:r>
              <w:fldChar w:fldCharType="separate"/>
            </w:r>
            <w:r>
              <w:t>1</w:t>
            </w:r>
            <w:r>
              <w:fldChar w:fldCharType="end"/>
            </w:r>
          </w:hyperlink>
        </w:p>
        <w:p>
          <w:pPr>
            <w:pStyle w:val="TOC2"/>
            <w:tabs>
              <w:tab w:val="right" w:leader="dot" w:pos="9030"/>
            </w:tabs>
          </w:pPr>
          <w:hyperlink w:anchor="exec-summary">
            <w:r>
              <w:rPr>
                <w:noProof/>
              </w:rPr>
              <w:t>Executive summary</w:t>
            </w:r>
            <w:r>
              <w:rPr>
                <w:noProof/>
              </w:rPr>
              <w:tab/>
            </w:r>
            <w:r>
              <w:fldChar w:fldCharType="begin"/>
            </w:r>
            <w:r>
              <w:instrText xml:space="preserve"> PAGEREF exec-summary \h </w:instrText>
            </w:r>
            <w:r>
              <w:fldChar w:fldCharType="separate"/>
            </w:r>
            <w:r>
              <w:t>1</w:t>
            </w:r>
            <w:r>
              <w:fldChar w:fldCharType="end"/>
            </w:r>
          </w:hyperlink>
        </w:p>
        <w:p>
          <w:pPr>
            <w:pStyle w:val="TOC2"/>
            <w:tabs>
              <w:tab w:val="right" w:leader="dot" w:pos="9030"/>
            </w:tabs>
          </w:pPr>
          <w:hyperlink w:anchor="market-overview">
            <w:r>
              <w:rPr>
                <w:noProof/>
              </w:rPr>
              <w:t>1. Market overview and sizing</w:t>
            </w:r>
            <w:r>
              <w:rPr>
                <w:noProof/>
              </w:rPr>
              <w:tab/>
            </w:r>
            <w:r>
              <w:fldChar w:fldCharType="begin"/>
            </w:r>
            <w:r>
              <w:instrText xml:space="preserve"> PAGEREF market-overview \h </w:instrText>
            </w:r>
            <w:r>
              <w:fldChar w:fldCharType="separate"/>
            </w:r>
            <w:r>
              <w:t>2</w:t>
            </w:r>
            <w:r>
              <w:fldChar w:fldCharType="end"/>
            </w:r>
          </w:hyperlink>
        </w:p>
        <w:p>
          <w:pPr>
            <w:pStyle w:val="TOC2"/>
            <w:tabs>
              <w:tab w:val="right" w:leader="dot" w:pos="9030"/>
            </w:tabs>
          </w:pPr>
          <w:hyperlink w:anchor="country-matrix">
            <w:r>
              <w:rPr>
                <w:noProof/>
              </w:rPr>
              <w:t>2. Country attractiveness matrix</w:t>
            </w:r>
            <w:r>
              <w:rPr>
                <w:noProof/>
              </w:rPr>
              <w:tab/>
            </w:r>
            <w:r>
              <w:fldChar w:fldCharType="begin"/>
            </w:r>
            <w:r>
              <w:instrText xml:space="preserve"> PAGEREF country-matrix \h </w:instrText>
            </w:r>
            <w:r>
              <w:fldChar w:fldCharType="separate"/>
            </w:r>
            <w:r>
              <w:t>2</w:t>
            </w:r>
            <w:r>
              <w:fldChar w:fldCharType="end"/>
            </w:r>
          </w:hyperlink>
        </w:p>
        <w:p>
          <w:pPr>
            <w:pStyle w:val="TOC2"/>
            <w:tabs>
              <w:tab w:val="right" w:leader="dot" w:pos="9030"/>
            </w:tabs>
          </w:pPr>
          <w:hyperlink w:anchor="competitive-dynamics">
            <w:r>
              <w:rPr>
                <w:noProof/>
              </w:rPr>
              <w:t>3. Competitive dynamics</w:t>
            </w:r>
            <w:r>
              <w:rPr>
                <w:noProof/>
              </w:rPr>
              <w:tab/>
            </w:r>
            <w:r>
              <w:fldChar w:fldCharType="begin"/>
            </w:r>
            <w:r>
              <w:instrText xml:space="preserve"> PAGEREF competitive-dynamics \h </w:instrText>
            </w:r>
            <w:r>
              <w:fldChar w:fldCharType="separate"/>
            </w:r>
            <w:r>
              <w:t>3</w:t>
            </w:r>
            <w:r>
              <w:fldChar w:fldCharType="end"/>
            </w:r>
          </w:hyperlink>
        </w:p>
        <w:p>
          <w:pPr>
            <w:pStyle w:val="TOC2"/>
            <w:tabs>
              <w:tab w:val="right" w:leader="dot" w:pos="9030"/>
            </w:tabs>
          </w:pPr>
          <w:hyperlink w:anchor="entry-modes">
            <w:r>
              <w:rPr>
                <w:noProof/>
              </w:rPr>
              <w:t>4. Entry-mode evaluation</w:t>
            </w:r>
            <w:r>
              <w:rPr>
                <w:noProof/>
              </w:rPr>
              <w:tab/>
            </w:r>
            <w:r>
              <w:fldChar w:fldCharType="begin"/>
            </w:r>
            <w:r>
              <w:instrText xml:space="preserve"> PAGEREF entry-modes \h </w:instrText>
            </w:r>
            <w:r>
              <w:fldChar w:fldCharType="separate"/>
            </w:r>
            <w:r>
              <w:t>3</w:t>
            </w:r>
            <w:r>
              <w:fldChar w:fldCharType="end"/>
            </w:r>
          </w:hyperlink>
        </w:p>
        <w:p>
          <w:pPr>
            <w:pStyle w:val="TOC2"/>
            <w:tabs>
              <w:tab w:val="right" w:leader="dot" w:pos="9030"/>
            </w:tabs>
          </w:pPr>
          <w:hyperlink w:anchor="regulatory">
            <w:r>
              <w:rPr>
                <w:noProof/>
              </w:rPr>
              <w:t>5. Regulatory landscape</w:t>
            </w:r>
            <w:r>
              <w:rPr>
                <w:noProof/>
              </w:rPr>
              <w:tab/>
            </w:r>
            <w:r>
              <w:fldChar w:fldCharType="begin"/>
            </w:r>
            <w:r>
              <w:instrText xml:space="preserve"> PAGEREF regulatory \h </w:instrText>
            </w:r>
            <w:r>
              <w:fldChar w:fldCharType="separate"/>
            </w:r>
            <w:r>
              <w:t>4</w:t>
            </w:r>
            <w:r>
              <w:fldChar w:fldCharType="end"/>
            </w:r>
          </w:hyperlink>
        </w:p>
        <w:p>
          <w:pPr>
            <w:pStyle w:val="TOC2"/>
            <w:tabs>
              <w:tab w:val="right" w:leader="dot" w:pos="9030"/>
            </w:tabs>
          </w:pPr>
          <w:hyperlink w:anchor="risks">
            <w:r>
              <w:rPr>
                <w:noProof/>
              </w:rPr>
              <w:t>6. Risk register</w:t>
            </w:r>
            <w:r>
              <w:rPr>
                <w:noProof/>
              </w:rPr>
              <w:tab/>
            </w:r>
            <w:r>
              <w:fldChar w:fldCharType="begin"/>
            </w:r>
            <w:r>
              <w:instrText xml:space="preserve"> PAGEREF risks \h </w:instrText>
            </w:r>
            <w:r>
              <w:fldChar w:fldCharType="separate"/>
            </w:r>
            <w:r>
              <w:t>4</w:t>
            </w:r>
            <w:r>
              <w:fldChar w:fldCharType="end"/>
            </w:r>
          </w:hyperlink>
        </w:p>
        <w:p>
          <w:pPr>
            <w:pStyle w:val="TOC2"/>
            <w:tabs>
              <w:tab w:val="right" w:leader="dot" w:pos="9030"/>
            </w:tabs>
          </w:pPr>
          <w:hyperlink w:anchor="recommendation">
            <w:r>
              <w:rPr>
                <w:noProof/>
              </w:rPr>
              <w:t>7. Recommendation and next steps</w:t>
            </w:r>
            <w:r>
              <w:rPr>
                <w:noProof/>
              </w:rPr>
              <w:tab/>
            </w:r>
            <w:r>
              <w:fldChar w:fldCharType="begin"/>
            </w:r>
            <w:r>
              <w:instrText xml:space="preserve"> PAGEREF recommendation \h </w:instrText>
            </w:r>
            <w:r>
              <w:fldChar w:fldCharType="separate"/>
            </w:r>
            <w:r>
              <w:t>5</w:t>
            </w:r>
            <w:r>
              <w:fldChar w:fldCharType="end"/>
            </w:r>
          </w:hyperlink>
        </w:p>
        <w:p>
          <w:pPr>
            <w:pStyle w:val="TOC2"/>
            <w:tabs>
              <w:tab w:val="right" w:leader="dot" w:pos="9030"/>
            </w:tabs>
          </w:pPr>
          <w:hyperlink w:anchor="appendix-a">
            <w:r>
              <w:rPr>
                <w:noProof/>
              </w:rPr>
              <w:t>Appendix A: Methodology and sources</w:t>
            </w:r>
            <w:r>
              <w:rPr>
                <w:noProof/>
              </w:rPr>
              <w:tab/>
            </w:r>
            <w:r>
              <w:fldChar w:fldCharType="begin"/>
            </w:r>
            <w:r>
              <w:instrText xml:space="preserve"> PAGEREF appendix-a \h </w:instrText>
            </w:r>
            <w:r>
              <w:fldChar w:fldCharType="separate"/>
            </w:r>
            <w:r>
              <w:t>5</w:t>
            </w:r>
            <w:r>
              <w:fldChar w:fldCharType="end"/>
            </w:r>
          </w:hyperlink>
        </w:p>
        <w:p>
          <w:r>
            <w:fldChar w:fldCharType="end"/>
          </w:r>
        </w:p>
      </w:sdtContent>
    </w:sdt>
    <w:p>
      <w:pPr>
        <w:pStyle w:val="Heading2"/>
        <w:keepNext/>
        <w:keepLines/>
        <w:spacing w:line="276" w:lineRule="auto"/>
        <w:jc w:val="left"/>
        <w:outlineLvl w:val="1"/>
      </w:pPr>
      <w:bookmarkStart w:id="3" w:name="market-overview"/>
      <w:r>
        <w:rPr>
          <w:rFonts w:ascii="Calibri" w:hAnsi="Calibri" w:cs="Calibri"/>
          <w:noProof/>
          <w:color w:val="000000"/>
          <w:sz w:val="40"/>
          <w:szCs w:val="40"/>
        </w:rPr>
        <w:t xml:space="preserve">1. Market overview and sizing</w:t>
      </w:r>
      <w:bookmarkEnd w:id="3"/>
    </w:p>
    <w:p>
      <w:pPr>
        <w:spacing w:line="276" w:lineRule="auto"/>
        <w:jc w:val="left"/>
      </w:pPr>
      <w:r>
        <w:rPr>
          <w:rFonts w:ascii="Calibri" w:hAnsi="Calibri" w:cs="Calibri"/>
          <w:noProof/>
          <w:color w:val="000000"/>
          <w:sz w:val="22"/>
          <w:szCs w:val="22"/>
        </w:rPr>
        <w:t xml:space="preserve">The six focus markets — Indonesia, Vietnam, the Philippines, Thailand, Malaysia and Singapore — together account for 671 million people and a combined 2025 GDP of USD 4.1 trillion. Digital-payments penetration diverges sharply: Singapore has effectively completed its cash-displacement journey (92% of point-of-sale value is electronic), while Vietnam and the Philippines remain below 45%, implying the longest growth runway. E-commerce GTV grew 21% year-on-year in 2025, led by live-commerce formats that settle predominantly through e-wallets rather than cards.</w:t>
      </w:r>
    </w:p>
    <w:p>
      <w:pPr>
        <w:spacing w:line="276" w:lineRule="auto"/>
        <w:jc w:val="left"/>
      </w:pPr>
      <w:r>
        <w:rPr>
          <w:rFonts w:ascii="Calibri" w:hAnsi="Calibri" w:cs="Calibri"/>
          <w:noProof/>
          <w:color w:val="000000"/>
          <w:sz w:val="22"/>
          <w:szCs w:val="22"/>
        </w:rPr>
        <w:t xml:space="preserve">Three structural shifts define the current window. First, central banks have mandated QR interoperability, which erodes the closed-loop advantage of incumbent super-apps and re-opens merchant acquiring to independent players. Second, interchange on domestic card transactions is being compressed by regulation (Malaysia capped debit interchange at 0.15% in January 2026), pushing economics toward value-added services — lending, FX, and reconciliation software — where Meridian's European product stack is directly reusable. Third, the exit of two US acquirers from the region in 2025 has left mid-market international merchants underserved.</w:t>
      </w:r>
    </w:p>
    <w:p>
      <w:r>
        <w:rPr>
          <w:noProof/>
        </w:rPr>
        <w:drawing>
          <wp:inline xmlns:wp="http://schemas.openxmlformats.org/drawingml/2006/wordprocessingDrawing" distT="0" distB="0" distL="0" distR="0">
            <wp:extent cx="3810000" cy="2857500"/>
            <wp:effectExtent l="0" t="0" r="0" b="0"/>
            <wp:docPr id="1" name="Picture 1" descr="Digital payments GTV by market, 2025 vs 2030F (USD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1"/>
                    <a:stretch>
                      <a:fillRect/>
                    </a:stretch>
                  </pic:blipFill>
                  <pic:spPr>
                    <a:xfrm>
                      <a:off x="0" y="0"/>
                      <a:ext cx="3810000" cy="2857500"/>
                    </a:xfrm>
                    <a:prstGeom prst="rect">
                      <a:avLst/>
                    </a:prstGeom>
                  </pic:spPr>
                </pic:pic>
              </a:graphicData>
            </a:graphic>
          </wp:inline>
        </w:drawing>
      </w:r>
    </w:p>
    <w:p>
      <w:pPr>
        <w:spacing w:line="276" w:lineRule="auto"/>
        <w:jc w:val="left"/>
      </w:pPr>
      <w:r>
        <w:rPr>
          <w:rFonts w:ascii="Calibri" w:hAnsi="Calibri" w:cs="Calibri"/>
          <w:noProof/>
          <w:color w:val="000000"/>
          <w:sz w:val="22"/>
          <w:szCs w:val="22"/>
        </w:rPr>
        <w:t xml:space="preserve">Indonesia alone represents 27% of current regional GTV and 38% of forecast absolute growth to 2030. It is also the market where the competitive structure is least settled: the top three acquirers hold only 41% combined share, against 78% in Thailand and 85% in Singapore.</w:t>
      </w:r>
    </w:p>
    <w:p>
      <w:pPr>
        <w:pStyle w:val="Heading2"/>
        <w:keepNext/>
        <w:keepLines/>
        <w:spacing w:line="276" w:lineRule="auto"/>
        <w:jc w:val="left"/>
        <w:outlineLvl w:val="1"/>
      </w:pPr>
      <w:bookmarkStart w:id="4" w:name="country-matrix"/>
      <w:r>
        <w:rPr>
          <w:rFonts w:ascii="Calibri" w:hAnsi="Calibri" w:cs="Calibri"/>
          <w:noProof/>
          <w:color w:val="000000"/>
          <w:sz w:val="40"/>
          <w:szCs w:val="40"/>
        </w:rPr>
        <w:t xml:space="preserve">2. Country attractiveness matrix</w:t>
      </w:r>
      <w:bookmarkEnd w:id="4"/>
    </w:p>
    <w:p>
      <w:pPr>
        <w:spacing w:line="276" w:lineRule="auto"/>
        <w:jc w:val="left"/>
      </w:pPr>
      <w:r>
        <w:rPr>
          <w:rFonts w:ascii="Calibri" w:hAnsi="Calibri" w:cs="Calibri"/>
          <w:noProof/>
          <w:color w:val="000000"/>
          <w:sz w:val="22"/>
          <w:szCs w:val="22"/>
        </w:rPr>
        <w:t xml:space="preserve">The matrix below scores each market on the five criteria agreed with the steering committee in April. Scores are 1 (weak) to 5 (strong) from Meridian's perspective as an entrant. Weighting: market size 30%, growth 25%, regulatory accessibility 20%, competitive intensity 15% (inverted), talent and infrastructure 10%.</w:t>
      </w:r>
    </w:p>
    <w:tbl>
      <w:tblPr>
        <w:tblW w:w="9360" w:type="dxa"/>
        <w:tblBorders>
          <w:top w:val="nil"/>
          <w:left w:val="nil"/>
          <w:bottom w:val="nil"/>
          <w:right w:val="nil"/>
          <w:insideH w:val="nil"/>
          <w:insideV w:val="nil"/>
        </w:tblBorders>
        <w:tblLayout w:type="fixed"/>
        <w:tblCellMar>
          <w:top w:w="72" w:type="dxa"/>
          <w:left w:w="108" w:type="dxa"/>
          <w:bottom w:w="72" w:type="dxa"/>
          <w:right w:w="108" w:type="dxa"/>
        </w:tblCellMar>
        <w:tblCaption w:val="Country attractiveness scoring, July 2026"/>
      </w:tblPr>
      <w:tblGrid>
        <w:gridCol w:w="1560"/>
        <w:gridCol w:w="1240"/>
        <w:gridCol w:w="1160"/>
        <w:gridCol w:w="1440"/>
        <w:gridCol w:w="1360"/>
        <w:gridCol w:w="1280"/>
        <w:gridCol w:w="1320"/>
      </w:tblGrid>
      <w:tr>
        <w:trPr>
          <w:cantSplit/>
          <w:trHeight w:val="300" w:hRule="atLeast"/>
          <w:tblHeader/>
        </w:trPr>
        <w:tc>
          <w:tcPr>
            <w:tcW w:w="15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Market</w:t>
            </w:r>
          </w:p>
        </w:tc>
        <w:tc>
          <w:tcPr>
            <w:tcW w:w="124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Size (30%)</w:t>
            </w:r>
          </w:p>
        </w:tc>
        <w:tc>
          <w:tcPr>
            <w:tcW w:w="11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Growth (25%)</w:t>
            </w:r>
          </w:p>
        </w:tc>
        <w:tc>
          <w:tcPr>
            <w:tcW w:w="144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Regulatory access (20%)</w:t>
            </w:r>
          </w:p>
        </w:tc>
        <w:tc>
          <w:tcPr>
            <w:tcW w:w="13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Competitive intensity (15%)</w:t>
            </w:r>
          </w:p>
        </w:tc>
        <w:tc>
          <w:tcPr>
            <w:tcW w:w="128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Talent &amp; infra (10%)</w:t>
            </w:r>
          </w:p>
        </w:tc>
        <w:tc>
          <w:tcPr>
            <w:tcW w:w="132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Weighted score</w:t>
            </w:r>
          </w:p>
        </w:tc>
      </w:tr>
      <w:tr>
        <w:trPr>
          <w:cantSplit/>
          <w:trHeight w:val="300" w:hRule="atLeast"/>
        </w:trPr>
        <w:tc>
          <w:tcPr>
            <w:tcW w:w="156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Indonesia</w:t>
            </w:r>
          </w:p>
        </w:tc>
        <w:tc>
          <w:tcPr>
            <w:tcW w:w="12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5</w:t>
            </w:r>
          </w:p>
        </w:tc>
        <w:tc>
          <w:tcPr>
            <w:tcW w:w="11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5</w:t>
            </w:r>
          </w:p>
        </w:tc>
        <w:tc>
          <w:tcPr>
            <w:tcW w:w="14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w:t>
            </w:r>
          </w:p>
        </w:tc>
        <w:tc>
          <w:tcPr>
            <w:tcW w:w="1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4</w:t>
            </w:r>
          </w:p>
        </w:tc>
        <w:tc>
          <w:tcPr>
            <w:tcW w:w="12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w:t>
            </w:r>
          </w:p>
        </w:tc>
        <w:tc>
          <w:tcPr>
            <w:tcW w:w="132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4.30</w:t>
            </w:r>
          </w:p>
        </w:tc>
      </w:tr>
      <w:tr>
        <w:trPr>
          <w:cantSplit/>
          <w:trHeight w:val="300" w:hRule="atLeast"/>
        </w:trPr>
        <w:tc>
          <w:tcPr>
            <w:tcW w:w="15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Vietnam</w:t>
            </w:r>
          </w:p>
        </w:tc>
        <w:tc>
          <w:tcPr>
            <w:tcW w:w="124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3</w:t>
            </w:r>
          </w:p>
        </w:tc>
        <w:tc>
          <w:tcPr>
            <w:tcW w:w="11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5</w:t>
            </w:r>
          </w:p>
        </w:tc>
        <w:tc>
          <w:tcPr>
            <w:tcW w:w="144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2</w:t>
            </w:r>
          </w:p>
        </w:tc>
        <w:tc>
          <w:tcPr>
            <w:tcW w:w="13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4</w:t>
            </w:r>
          </w:p>
        </w:tc>
        <w:tc>
          <w:tcPr>
            <w:tcW w:w="128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3</w:t>
            </w:r>
          </w:p>
        </w:tc>
        <w:tc>
          <w:tcPr>
            <w:tcW w:w="132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3.55</w:t>
            </w:r>
          </w:p>
        </w:tc>
      </w:tr>
      <w:tr>
        <w:trPr>
          <w:cantSplit/>
          <w:trHeight w:val="300" w:hRule="atLeast"/>
        </w:trPr>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Philippines</w:t>
            </w:r>
          </w:p>
        </w:tc>
        <w:tc>
          <w:tcPr>
            <w:tcW w:w="12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w:t>
            </w:r>
          </w:p>
        </w:tc>
        <w:tc>
          <w:tcPr>
            <w:tcW w:w="11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4</w:t>
            </w:r>
          </w:p>
        </w:tc>
        <w:tc>
          <w:tcPr>
            <w:tcW w:w="14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w:t>
            </w:r>
          </w:p>
        </w:tc>
        <w:tc>
          <w:tcPr>
            <w:tcW w:w="1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4</w:t>
            </w:r>
          </w:p>
        </w:tc>
        <w:tc>
          <w:tcPr>
            <w:tcW w:w="12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2</w:t>
            </w:r>
          </w:p>
        </w:tc>
        <w:tc>
          <w:tcPr>
            <w:tcW w:w="132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3.30</w:t>
            </w:r>
          </w:p>
        </w:tc>
      </w:tr>
      <w:tr>
        <w:trPr>
          <w:cantSplit/>
          <w:trHeight w:val="300" w:hRule="atLeast"/>
        </w:trPr>
        <w:tc>
          <w:tcPr>
            <w:tcW w:w="15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Thailand</w:t>
            </w:r>
          </w:p>
        </w:tc>
        <w:tc>
          <w:tcPr>
            <w:tcW w:w="124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4</w:t>
            </w:r>
          </w:p>
        </w:tc>
        <w:tc>
          <w:tcPr>
            <w:tcW w:w="11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3</w:t>
            </w:r>
          </w:p>
        </w:tc>
        <w:tc>
          <w:tcPr>
            <w:tcW w:w="144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3</w:t>
            </w:r>
          </w:p>
        </w:tc>
        <w:tc>
          <w:tcPr>
            <w:tcW w:w="13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2</w:t>
            </w:r>
          </w:p>
        </w:tc>
        <w:tc>
          <w:tcPr>
            <w:tcW w:w="128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4</w:t>
            </w:r>
          </w:p>
        </w:tc>
        <w:tc>
          <w:tcPr>
            <w:tcW w:w="132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3.25</w:t>
            </w:r>
          </w:p>
        </w:tc>
      </w:tr>
      <w:tr>
        <w:trPr>
          <w:cantSplit/>
          <w:trHeight w:val="300" w:hRule="atLeast"/>
        </w:trPr>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Malaysia</w:t>
            </w:r>
          </w:p>
        </w:tc>
        <w:tc>
          <w:tcPr>
            <w:tcW w:w="12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2</w:t>
            </w:r>
          </w:p>
        </w:tc>
        <w:tc>
          <w:tcPr>
            <w:tcW w:w="11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w:t>
            </w:r>
          </w:p>
        </w:tc>
        <w:tc>
          <w:tcPr>
            <w:tcW w:w="14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4</w:t>
            </w:r>
          </w:p>
        </w:tc>
        <w:tc>
          <w:tcPr>
            <w:tcW w:w="1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w:t>
            </w:r>
          </w:p>
        </w:tc>
        <w:tc>
          <w:tcPr>
            <w:tcW w:w="12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4</w:t>
            </w:r>
          </w:p>
        </w:tc>
        <w:tc>
          <w:tcPr>
            <w:tcW w:w="132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3.00</w:t>
            </w:r>
          </w:p>
        </w:tc>
      </w:tr>
      <w:tr>
        <w:trPr>
          <w:cantSplit/>
          <w:trHeight w:val="300" w:hRule="atLeast"/>
        </w:trPr>
        <w:tc>
          <w:tcPr>
            <w:tcW w:w="15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Singapore</w:t>
            </w:r>
          </w:p>
        </w:tc>
        <w:tc>
          <w:tcPr>
            <w:tcW w:w="124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2</w:t>
            </w:r>
          </w:p>
        </w:tc>
        <w:tc>
          <w:tcPr>
            <w:tcW w:w="11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2</w:t>
            </w:r>
          </w:p>
        </w:tc>
        <w:tc>
          <w:tcPr>
            <w:tcW w:w="144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5</w:t>
            </w:r>
          </w:p>
        </w:tc>
        <w:tc>
          <w:tcPr>
            <w:tcW w:w="13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1</w:t>
            </w:r>
          </w:p>
        </w:tc>
        <w:tc>
          <w:tcPr>
            <w:tcW w:w="128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5</w:t>
            </w:r>
          </w:p>
        </w:tc>
        <w:tc>
          <w:tcPr>
            <w:tcW w:w="132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2.75</w:t>
            </w:r>
          </w:p>
        </w:tc>
      </w:tr>
    </w:tbl>
    <w:p>
      <w:pPr>
        <w:spacing w:before="80" w:after="0" w:line="20" w:lineRule="exact"/>
      </w:pPr>
    </w:p>
    <w:p>
      <w:pPr>
        <w:spacing w:line="276" w:lineRule="auto"/>
        <w:jc w:val="left"/>
        <w:sectPr>
          <w:headerReference w:type="default" r:id="rId12"/>
          <w:footerReference w:type="default" r:id="rId13"/>
          <w:type w:val="nextPage"/>
          <w:pgSz w:w="11910" w:h="16845"/>
          <w:pgMar w:top="1440" w:right="1440" w:bottom="1440" w:left="1440" w:header="720" w:footer="720" w:gutter="0"/>
          <w:cols w:space="720"/>
          <w:docGrid w:linePitch="360"/>
        </w:sectPr>
      </w:pPr>
      <w:r>
        <w:rPr>
          <w:rFonts w:ascii="Calibri" w:hAnsi="Calibri" w:cs="Calibri"/>
          <w:noProof/>
          <w:color w:val="000000"/>
          <w:sz w:val="22"/>
          <w:szCs w:val="22"/>
        </w:rPr>
        <w:t xml:space="preserve">Indonesia leads despite a mid-range regulatory score because Bank Indonesia's PJP licensing regime, while slow (14-18 months for a fresh Category 1 licence), can be bypassed entirely through acquisition of an existing licence holder — the basis of our recommended structure.</w:t>
      </w:r>
    </w:p>
    <w:p>
      <w:pPr>
        <w:pStyle w:val="Heading2"/>
        <w:keepNext/>
        <w:keepLines/>
        <w:spacing w:line="276" w:lineRule="auto"/>
        <w:jc w:val="left"/>
        <w:outlineLvl w:val="1"/>
      </w:pPr>
      <w:bookmarkStart w:id="5" w:name="competitive-dynamics"/>
      <w:r>
        <w:rPr>
          <w:rFonts w:ascii="Calibri" w:hAnsi="Calibri" w:cs="Calibri"/>
          <w:noProof/>
          <w:color w:val="000000"/>
          <w:sz w:val="40"/>
          <w:szCs w:val="40"/>
        </w:rPr>
        <w:t xml:space="preserve">3. Competitive dynamics</w:t>
      </w:r>
      <w:bookmarkEnd w:id="5"/>
    </w:p>
    <w:p>
      <w:pPr>
        <w:spacing w:line="276" w:lineRule="auto"/>
        <w:jc w:val="left"/>
      </w:pPr>
      <w:r>
        <w:rPr>
          <w:rFonts w:ascii="Calibri" w:hAnsi="Calibri" w:cs="Calibri"/>
          <w:noProof/>
          <w:color w:val="000000"/>
          <w:sz w:val="22"/>
          <w:szCs w:val="22"/>
        </w:rPr>
        <w:t xml:space="preserve">Regional competition splits into three archetypes. Super-app wallets (GoPay, GrabPay, ShopeePay, MoMo) dominate consumer wallet share but monetise poorly on payments alone and are retreating toward lending. Bank-owned acquirers retain large-merchant relationships but run legacy stacks with 6-9 month merchant onboarding for complex integrations. Independent acquirers — the segment Meridian would enter — are consolidating: four of the top ten changed ownership between 2023 and 2025.</w:t>
      </w:r>
    </w:p>
    <w:p>
      <w:pPr>
        <w:spacing w:line="276" w:lineRule="auto"/>
        <w:jc w:val="left"/>
      </w:pPr>
      <w:r>
        <w:rPr>
          <w:rFonts w:ascii="Calibri" w:hAnsi="Calibri" w:cs="Calibri"/>
          <w:noProof/>
          <w:color w:val="000000"/>
          <w:sz w:val="22"/>
          <w:szCs w:val="22"/>
        </w:rPr>
        <w:t xml:space="preserve">Meridian's differentiation case rests on capabilities that no regional independent currently bundles: single-contract pan-regional settlement, PCI-P2PE-certified unattended terminals, and treasury-grade FX netting. In interviews, 17 of 23 mid-market international merchants ranked cross-border reconciliation as their first or second pain point; none ranked domestic checkout conversion, where local players compete hardest.</w:t>
      </w:r>
    </w:p>
    <w:p>
      <w:pPr>
        <w:pStyle w:val="Heading3"/>
        <w:keepNext/>
        <w:keepLines/>
        <w:spacing w:line="276" w:lineRule="auto"/>
        <w:jc w:val="left"/>
        <w:outlineLvl w:val="2"/>
      </w:pPr>
      <w:r>
        <w:rPr>
          <w:rFonts w:ascii="Calibri" w:hAnsi="Calibri" w:cs="Calibri"/>
          <w:noProof/>
          <w:color w:val="000000"/>
          <w:sz w:val="32"/>
          <w:szCs w:val="32"/>
        </w:rPr>
        <w:t xml:space="preserve">Share of merchant acquiring by market, 2025</w:t>
      </w: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Top-three acquirer concentration"/>
      </w:tblPr>
      <w:tblGrid>
        <w:gridCol w:w="1806"/>
        <w:gridCol w:w="1806"/>
        <w:gridCol w:w="1806"/>
        <w:gridCol w:w="1806"/>
        <w:gridCol w:w="1806"/>
      </w:tblGrid>
      <w:tr>
        <w:trPr>
          <w:cantSplit/>
          <w:trHeight w:val="300" w:hRule="atLeast"/>
          <w:tblHeader/>
        </w:trPr>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Market</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#1 player (share)</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#2 player (share)</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 player (share)</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Top-3 combined</w:t>
            </w:r>
          </w:p>
        </w:tc>
      </w:tr>
      <w:tr>
        <w:trPr>
          <w:cantSplit/>
          <w:trHeight w:val="300" w:hRule="atLeast"/>
        </w:trPr>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Indonesia</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Bank Mandiri Merchant (17%)</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Nusantara Pay (13%)</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Doku (11%)</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41%</w:t>
            </w:r>
          </w:p>
        </w:tc>
      </w:tr>
      <w:tr>
        <w:trPr>
          <w:cantSplit/>
          <w:trHeight w:val="300" w:hRule="atLeast"/>
        </w:trPr>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Vietnam</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VNPay (29%)</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Napas Direct (18%)</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OnePay (9%)</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56%</w:t>
            </w:r>
          </w:p>
        </w:tc>
      </w:tr>
      <w:tr>
        <w:trPr>
          <w:cantSplit/>
          <w:trHeight w:val="300" w:hRule="atLeast"/>
        </w:trPr>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Philippines</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PayMongo (21%)</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BDO Acquiring (19%)</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Maya Business (14%)</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54%</w:t>
            </w:r>
          </w:p>
        </w:tc>
      </w:tr>
      <w:tr>
        <w:trPr>
          <w:cantSplit/>
          <w:trHeight w:val="300" w:hRule="atLeast"/>
        </w:trPr>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Thailand</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Kasikorn KBank (38%)</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SCB Payments (24%)</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2C2P (16%)</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78%</w:t>
            </w:r>
          </w:p>
        </w:tc>
      </w:tr>
    </w:tbl>
    <w:p>
      <w:pPr>
        <w:spacing w:before="80" w:after="0" w:line="20" w:lineRule="exact"/>
      </w:pPr>
    </w:p>
    <w:p>
      <w:pPr>
        <w:pStyle w:val="Heading2"/>
        <w:keepNext/>
        <w:keepLines/>
        <w:spacing w:line="276" w:lineRule="auto"/>
        <w:jc w:val="left"/>
        <w:outlineLvl w:val="1"/>
      </w:pPr>
      <w:bookmarkStart w:id="6" w:name="entry-modes"/>
      <w:r>
        <w:rPr>
          <w:rFonts w:ascii="Calibri" w:hAnsi="Calibri" w:cs="Calibri"/>
          <w:noProof/>
          <w:color w:val="000000"/>
          <w:sz w:val="40"/>
          <w:szCs w:val="40"/>
        </w:rPr>
        <w:t xml:space="preserve">4. Entry-mode evaluation</w:t>
      </w:r>
      <w:bookmarkEnd w:id="6"/>
    </w:p>
    <w:p>
      <w:pPr>
        <w:spacing w:line="276" w:lineRule="auto"/>
        <w:jc w:val="left"/>
      </w:pPr>
      <w:r>
        <w:rPr>
          <w:rFonts w:ascii="Calibri" w:hAnsi="Calibri" w:cs="Calibri"/>
          <w:noProof/>
          <w:color w:val="000000"/>
          <w:sz w:val="22"/>
          <w:szCs w:val="22"/>
        </w:rPr>
        <w:t xml:space="preserve">Each mode was tested against the committee's three constraints and scored on speed, control, capital efficiency and regulatory risk. The structured findings follow.</w:t>
      </w:r>
    </w:p>
    <w:p>
      <w:pPr>
        <w:pStyle w:val="ListParagraph"/>
        <w:numPr>
          <w:ilvl w:val="0"/>
          <w:numId w:val="1"/>
        </w:numPr>
        <w:spacing w:line="276" w:lineRule="auto"/>
        <w:jc w:val="left"/>
      </w:pPr>
      <w:r>
        <w:rPr>
          <w:rFonts w:ascii="Calibri" w:hAnsi="Calibri" w:cs="Calibri"/>
          <w:b/>
          <w:noProof/>
          <w:color w:val="000000"/>
          <w:sz w:val="22"/>
          <w:szCs w:val="22"/>
        </w:rPr>
        <w:t xml:space="preserve">Greenfield licensing. </w:t>
      </w:r>
      <w:r>
        <w:rPr>
          <w:rFonts w:ascii="Calibri" w:hAnsi="Calibri" w:cs="Calibri"/>
          <w:noProof/>
          <w:color w:val="000000"/>
          <w:sz w:val="22"/>
          <w:szCs w:val="22"/>
        </w:rPr>
        <w:t xml:space="preserve">Apply directly for PJP Category 1 (Indonesia) and equivalent licences elsewhere.</w:t>
      </w:r>
    </w:p>
    <w:p>
      <w:pPr>
        <w:pStyle w:val="ListParagraph"/>
        <w:numPr>
          <w:ilvl w:val="1"/>
          <w:numId w:val="1"/>
        </w:numPr>
        <w:spacing w:line="276" w:lineRule="auto"/>
        <w:jc w:val="left"/>
      </w:pPr>
      <w:r>
        <w:rPr>
          <w:rFonts w:ascii="Calibri" w:hAnsi="Calibri" w:cs="Calibri"/>
          <w:noProof/>
          <w:color w:val="000000"/>
          <w:sz w:val="22"/>
          <w:szCs w:val="22"/>
        </w:rPr>
        <w:t xml:space="preserve">Speed: 14-18 months to licence, further 12 months to minimum viable merchant book. First revenue no earlier than Q3 2028.</w:t>
      </w:r>
    </w:p>
    <w:p>
      <w:pPr>
        <w:pStyle w:val="ListParagraph"/>
        <w:numPr>
          <w:ilvl w:val="1"/>
          <w:numId w:val="1"/>
        </w:numPr>
        <w:spacing w:line="276" w:lineRule="auto"/>
        <w:jc w:val="left"/>
      </w:pPr>
      <w:r>
        <w:rPr>
          <w:rFonts w:ascii="Calibri" w:hAnsi="Calibri" w:cs="Calibri"/>
          <w:noProof/>
          <w:color w:val="000000"/>
          <w:sz w:val="22"/>
          <w:szCs w:val="22"/>
        </w:rPr>
        <w:t xml:space="preserve">Capital: lowest committed capital (EUR 120-150m) but longest J-curve; break-even modelled at year 6, breaching the four-year constraint.</w:t>
      </w:r>
    </w:p>
    <w:p>
      <w:pPr>
        <w:pStyle w:val="ListParagraph"/>
        <w:numPr>
          <w:ilvl w:val="1"/>
          <w:numId w:val="1"/>
        </w:numPr>
        <w:spacing w:line="276" w:lineRule="auto"/>
        <w:jc w:val="left"/>
      </w:pPr>
      <w:r>
        <w:rPr>
          <w:rFonts w:ascii="Calibri" w:hAnsi="Calibri" w:cs="Calibri"/>
          <w:noProof/>
          <w:color w:val="000000"/>
          <w:sz w:val="22"/>
          <w:szCs w:val="22"/>
        </w:rPr>
        <w:t xml:space="preserve">Verdict: rejected. Fails break-even constraint in all scenarios.</w:t>
      </w:r>
    </w:p>
    <w:p>
      <w:pPr>
        <w:pStyle w:val="ListParagraph"/>
        <w:numPr>
          <w:ilvl w:val="0"/>
          <w:numId w:val="1"/>
        </w:numPr>
        <w:spacing w:line="276" w:lineRule="auto"/>
        <w:jc w:val="left"/>
      </w:pPr>
      <w:r>
        <w:rPr>
          <w:rFonts w:ascii="Calibri" w:hAnsi="Calibri" w:cs="Calibri"/>
          <w:b/>
          <w:noProof/>
          <w:color w:val="000000"/>
          <w:sz w:val="22"/>
          <w:szCs w:val="22"/>
        </w:rPr>
        <w:t xml:space="preserve">Acquisition of a regional acquirer. </w:t>
      </w:r>
      <w:r>
        <w:rPr>
          <w:rFonts w:ascii="Calibri" w:hAnsi="Calibri" w:cs="Calibri"/>
          <w:noProof/>
          <w:color w:val="000000"/>
          <w:sz w:val="22"/>
          <w:szCs w:val="22"/>
        </w:rPr>
        <w:t xml:space="preserve">Purchase a licensed independent with an existing merchant book.</w:t>
      </w:r>
    </w:p>
    <w:p>
      <w:pPr>
        <w:pStyle w:val="ListParagraph"/>
        <w:numPr>
          <w:ilvl w:val="1"/>
          <w:numId w:val="1"/>
        </w:numPr>
        <w:spacing w:line="276" w:lineRule="auto"/>
        <w:jc w:val="left"/>
      </w:pPr>
      <w:r>
        <w:rPr>
          <w:rFonts w:ascii="Calibri" w:hAnsi="Calibri" w:cs="Calibri"/>
          <w:noProof/>
          <w:color w:val="000000"/>
          <w:sz w:val="22"/>
          <w:szCs w:val="22"/>
        </w:rPr>
        <w:t xml:space="preserve">Primary candidate: PT Nusantara Pay — 96,000 active merchants, USD 8.4bn GTV, 2025 net revenue USD 61m, EBITDA-positive since 2024. Founders and Series C investors signalled openness at 11-13x EBITDA.</w:t>
      </w:r>
    </w:p>
    <w:p>
      <w:pPr>
        <w:pStyle w:val="ListParagraph"/>
        <w:numPr>
          <w:ilvl w:val="1"/>
          <w:numId w:val="1"/>
        </w:numPr>
        <w:spacing w:line="276" w:lineRule="auto"/>
        <w:jc w:val="left"/>
      </w:pPr>
      <w:r>
        <w:rPr>
          <w:rFonts w:ascii="Calibri" w:hAnsi="Calibri" w:cs="Calibri"/>
          <w:noProof/>
          <w:color w:val="000000"/>
          <w:sz w:val="22"/>
          <w:szCs w:val="22"/>
        </w:rPr>
        <w:t xml:space="preserve">Speed: closing achievable within 9-11 months including OJK/Bank Indonesia change-of-control approval; Meridian products cross-sold from month 6 post-close.</w:t>
      </w:r>
    </w:p>
    <w:p>
      <w:pPr>
        <w:pStyle w:val="ListParagraph"/>
        <w:numPr>
          <w:ilvl w:val="1"/>
          <w:numId w:val="1"/>
        </w:numPr>
        <w:spacing w:line="276" w:lineRule="auto"/>
        <w:jc w:val="left"/>
      </w:pPr>
      <w:r>
        <w:rPr>
          <w:rFonts w:ascii="Calibri" w:hAnsi="Calibri" w:cs="Calibri"/>
          <w:noProof/>
          <w:color w:val="000000"/>
          <w:sz w:val="22"/>
          <w:szCs w:val="22"/>
        </w:rPr>
        <w:t xml:space="preserve">Capital: EUR 290-330m enterprise value plus EUR 50m integration; break-even (group contribution) in year 3.</w:t>
      </w:r>
    </w:p>
    <w:p>
      <w:pPr>
        <w:pStyle w:val="ListParagraph"/>
        <w:numPr>
          <w:ilvl w:val="1"/>
          <w:numId w:val="1"/>
        </w:numPr>
        <w:spacing w:line="276" w:lineRule="auto"/>
        <w:jc w:val="left"/>
      </w:pPr>
      <w:r>
        <w:rPr>
          <w:rFonts w:ascii="Calibri" w:hAnsi="Calibri" w:cs="Calibri"/>
          <w:noProof/>
          <w:color w:val="000000"/>
          <w:sz w:val="22"/>
          <w:szCs w:val="22"/>
        </w:rPr>
        <w:t xml:space="preserve">Verdict: recommended as the anchor transaction.</w:t>
      </w:r>
    </w:p>
    <w:p>
      <w:pPr>
        <w:pStyle w:val="ListParagraph"/>
        <w:numPr>
          <w:ilvl w:val="0"/>
          <w:numId w:val="1"/>
        </w:numPr>
        <w:spacing w:line="276" w:lineRule="auto"/>
        <w:jc w:val="left"/>
      </w:pPr>
      <w:r>
        <w:rPr>
          <w:rFonts w:ascii="Calibri" w:hAnsi="Calibri" w:cs="Calibri"/>
          <w:b/>
          <w:noProof/>
          <w:color w:val="000000"/>
          <w:sz w:val="22"/>
          <w:szCs w:val="22"/>
        </w:rPr>
        <w:t xml:space="preserve">Joint venture with a domestic bank. </w:t>
      </w:r>
      <w:r>
        <w:rPr>
          <w:rFonts w:ascii="Calibri" w:hAnsi="Calibri" w:cs="Calibri"/>
          <w:noProof/>
          <w:color w:val="000000"/>
          <w:sz w:val="22"/>
          <w:szCs w:val="22"/>
        </w:rPr>
        <w:t xml:space="preserve">50/50 acquiring JV, bank contributes licence and distribution, Meridian contributes platform.</w:t>
      </w:r>
    </w:p>
    <w:p>
      <w:pPr>
        <w:pStyle w:val="ListParagraph"/>
        <w:numPr>
          <w:ilvl w:val="1"/>
          <w:numId w:val="1"/>
        </w:numPr>
        <w:spacing w:line="276" w:lineRule="auto"/>
        <w:jc w:val="left"/>
      </w:pPr>
      <w:r>
        <w:rPr>
          <w:rFonts w:ascii="Calibri" w:hAnsi="Calibri" w:cs="Calibri"/>
          <w:noProof/>
          <w:color w:val="000000"/>
          <w:sz w:val="22"/>
          <w:szCs w:val="22"/>
        </w:rPr>
        <w:t xml:space="preserve">Speed: heads of terms to launch in 12-15 months based on regional precedents.</w:t>
      </w:r>
    </w:p>
    <w:p>
      <w:pPr>
        <w:pStyle w:val="ListParagraph"/>
        <w:numPr>
          <w:ilvl w:val="1"/>
          <w:numId w:val="1"/>
        </w:numPr>
        <w:spacing w:line="276" w:lineRule="auto"/>
        <w:jc w:val="left"/>
      </w:pPr>
      <w:r>
        <w:rPr>
          <w:rFonts w:ascii="Calibri" w:hAnsi="Calibri" w:cs="Calibri"/>
          <w:noProof/>
          <w:color w:val="000000"/>
          <w:sz w:val="22"/>
          <w:szCs w:val="22"/>
        </w:rPr>
        <w:t xml:space="preserve">Control: pricing, product roadmap and data residency all subject to JV governance; four of six precedent JVs in the region were restructured or unwound within five years.</w:t>
      </w:r>
    </w:p>
    <w:p>
      <w:pPr>
        <w:pStyle w:val="ListParagraph"/>
        <w:numPr>
          <w:ilvl w:val="1"/>
          <w:numId w:val="1"/>
        </w:numPr>
        <w:spacing w:line="276" w:lineRule="auto"/>
        <w:jc w:val="left"/>
        <w:sectPr>
          <w:headerReference w:type="default" r:id="rId14"/>
          <w:footerReference w:type="default" r:id="rId15"/>
          <w:type w:val="nextPage"/>
          <w:pgSz w:w="11910" w:h="16845"/>
          <w:pgMar w:top="1440" w:right="1440" w:bottom="1440" w:left="1440" w:header="720" w:footer="720" w:gutter="0"/>
          <w:cols w:space="720"/>
          <w:docGrid w:linePitch="360"/>
        </w:sectPr>
      </w:pPr>
      <w:r>
        <w:rPr>
          <w:rFonts w:ascii="Calibri" w:hAnsi="Calibri" w:cs="Calibri"/>
          <w:noProof/>
          <w:color w:val="000000"/>
          <w:sz w:val="22"/>
          <w:szCs w:val="22"/>
        </w:rPr>
        <w:t xml:space="preserve">Verdict: rejected as anchor, retained as the passporting mechanism for Vietnam and the Philippines where change-of-control approvals for foreign acquirers are materially harder.</w:t>
      </w:r>
    </w:p>
    <w:p>
      <w:pPr>
        <w:pStyle w:val="Heading2"/>
        <w:keepNext/>
        <w:keepLines/>
        <w:spacing w:line="276" w:lineRule="auto"/>
        <w:jc w:val="left"/>
        <w:outlineLvl w:val="1"/>
      </w:pPr>
      <w:bookmarkStart w:id="7" w:name="regulatory"/>
      <w:r>
        <w:rPr>
          <w:rFonts w:ascii="Calibri" w:hAnsi="Calibri" w:cs="Calibri"/>
          <w:noProof/>
          <w:color w:val="000000"/>
          <w:sz w:val="40"/>
          <w:szCs w:val="40"/>
        </w:rPr>
        <w:t xml:space="preserve">5. Regulatory landscape</w:t>
      </w:r>
      <w:bookmarkEnd w:id="7"/>
    </w:p>
    <w:p>
      <w:pPr>
        <w:spacing w:line="276" w:lineRule="auto"/>
        <w:jc w:val="left"/>
      </w:pPr>
      <w:r>
        <w:rPr>
          <w:rFonts w:ascii="Calibri" w:hAnsi="Calibri" w:cs="Calibri"/>
          <w:noProof/>
          <w:color w:val="000000"/>
          <w:sz w:val="22"/>
          <w:szCs w:val="22"/>
        </w:rPr>
        <w:t xml:space="preserve">Payment regulation in the region is licence-heavy and residency-sensitive. The table summarises the requirements that bind the recommended structure. Data-localisation rules are the single largest integration cost driver: Indonesia's PP 71/2019 requires public-sector transaction data to remain onshore, and Vietnam's Decree 53 requires 24-month onshore retention of payment data, which prevents a single regional processing hub in the medium term.</w:t>
      </w: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Licensing and data-residency requirements by market"/>
      </w:tblPr>
      <w:tblGrid>
        <w:gridCol w:w="1505"/>
        <w:gridCol w:w="1505"/>
        <w:gridCol w:w="1505"/>
        <w:gridCol w:w="1505"/>
        <w:gridCol w:w="1505"/>
        <w:gridCol w:w="1505"/>
      </w:tblGrid>
      <w:tr>
        <w:trPr>
          <w:cantSplit/>
          <w:trHeight w:val="300" w:hRule="atLeast"/>
          <w:tblHeader/>
        </w:trPr>
        <w:tc>
          <w:tcPr>
            <w:tcW w:w="1505"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Market</w:t>
            </w:r>
          </w:p>
        </w:tc>
        <w:tc>
          <w:tcPr>
            <w:tcW w:w="1505"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Regulator</w:t>
            </w:r>
          </w:p>
        </w:tc>
        <w:tc>
          <w:tcPr>
            <w:tcW w:w="1505"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Licence class required</w:t>
            </w:r>
          </w:p>
        </w:tc>
        <w:tc>
          <w:tcPr>
            <w:tcW w:w="1505"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Foreign ownership cap</w:t>
            </w:r>
          </w:p>
        </w:tc>
        <w:tc>
          <w:tcPr>
            <w:tcW w:w="1505"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Data localisation</w:t>
            </w:r>
          </w:p>
        </w:tc>
        <w:tc>
          <w:tcPr>
            <w:tcW w:w="1505"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Approval timeline</w:t>
            </w:r>
          </w:p>
        </w:tc>
      </w:tr>
      <w:tr>
        <w:trPr>
          <w:cantSplit/>
          <w:trHeight w:val="300" w:hRule="atLeast"/>
        </w:trPr>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Indonesia</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Bank Indonesia / OJK</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PJP Category 1</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85% (listed: none)</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Onshore for public-sector data</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6-9 months (change of control)</w:t>
            </w:r>
          </w:p>
        </w:tc>
      </w:tr>
      <w:tr>
        <w:trPr>
          <w:cantSplit/>
          <w:trHeight w:val="300" w:hRule="atLeast"/>
        </w:trPr>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Vietnam</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State Bank of Vietnam</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Intermediary Payment Services</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49% (de facto)</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24-month onshore retention</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12-18 months</w:t>
            </w:r>
          </w:p>
        </w:tc>
      </w:tr>
      <w:tr>
        <w:trPr>
          <w:cantSplit/>
          <w:trHeight w:val="300" w:hRule="atLeast"/>
        </w:trPr>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Philippines</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Bangko Sentral ng Pilipinas</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OPS registration + EMI (if wallet)</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None for OPS</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None (guidelines only)</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4-6 months</w:t>
            </w:r>
          </w:p>
        </w:tc>
      </w:tr>
      <w:tr>
        <w:trPr>
          <w:cantSplit/>
          <w:trHeight w:val="300" w:hRule="atLeast"/>
        </w:trPr>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Thailand</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Bank of Thailand</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e-Payment licence Type C</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51% Thai ownership</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Onshore primary processing</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8-12 months</w:t>
            </w:r>
          </w:p>
        </w:tc>
      </w:tr>
      <w:tr>
        <w:trPr>
          <w:cantSplit/>
          <w:trHeight w:val="300" w:hRule="atLeast"/>
        </w:trPr>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Malaysia</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Bank Negara Malaysia</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Merchant Acquiring Services</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None</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None</w:t>
            </w:r>
          </w:p>
        </w:tc>
        <w:tc>
          <w:tcPr>
            <w:tcW w:w="150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3-6 months</w:t>
            </w:r>
          </w:p>
        </w:tc>
      </w:tr>
      <w:tr>
        <w:trPr>
          <w:cantSplit/>
          <w:trHeight w:val="300" w:hRule="atLeast"/>
        </w:trPr>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Singapore</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MAS</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MPI (Payment Services Act)</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None</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None</w:t>
            </w:r>
          </w:p>
        </w:tc>
        <w:tc>
          <w:tcPr>
            <w:tcW w:w="1505"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4-6 months</w:t>
            </w:r>
          </w:p>
        </w:tc>
      </w:tr>
    </w:tbl>
    <w:p>
      <w:pPr>
        <w:spacing w:before="80" w:after="0" w:line="20" w:lineRule="exact"/>
      </w:pPr>
    </w:p>
    <w:p>
      <w:pPr>
        <w:pStyle w:val="Heading2"/>
        <w:keepNext/>
        <w:keepLines/>
        <w:spacing w:line="276" w:lineRule="auto"/>
        <w:jc w:val="left"/>
        <w:outlineLvl w:val="1"/>
      </w:pPr>
      <w:bookmarkStart w:id="8" w:name="risks"/>
      <w:r>
        <w:rPr>
          <w:rFonts w:ascii="Calibri" w:hAnsi="Calibri" w:cs="Calibri"/>
          <w:noProof/>
          <w:color w:val="000000"/>
          <w:sz w:val="40"/>
          <w:szCs w:val="40"/>
        </w:rPr>
        <w:t xml:space="preserve">6. Risk register</w:t>
      </w:r>
      <w:bookmarkEnd w:id="8"/>
    </w:p>
    <w:tbl>
      <w:tblPr>
        <w:tblW w:w="9030" w:type="dxa"/>
        <w:tblBorders>
          <w:top w:val="nil"/>
          <w:left w:val="nil"/>
          <w:bottom w:val="nil"/>
          <w:right w:val="nil"/>
          <w:insideH w:val="nil"/>
          <w:insideV w:val="nil"/>
        </w:tblBorders>
        <w:tblLayout w:type="fixed"/>
        <w:tblCellMar>
          <w:top w:w="72" w:type="dxa"/>
          <w:left w:w="108" w:type="dxa"/>
          <w:bottom w:w="72" w:type="dxa"/>
          <w:right w:w="108" w:type="dxa"/>
        </w:tblCellMar>
        <w:tblCaption w:val="Top risks and mitigations for the recommended path"/>
      </w:tblPr>
      <w:tblGrid>
        <w:gridCol w:w="1806"/>
        <w:gridCol w:w="1806"/>
        <w:gridCol w:w="1806"/>
        <w:gridCol w:w="1806"/>
        <w:gridCol w:w="1806"/>
      </w:tblGrid>
      <w:tr>
        <w:trPr>
          <w:cantSplit/>
          <w:trHeight w:val="300" w:hRule="atLeast"/>
          <w:tblHeader/>
        </w:trPr>
        <w:tc>
          <w:tcPr>
            <w:tcW w:w="1806"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w:t>
            </w:r>
          </w:p>
        </w:tc>
        <w:tc>
          <w:tcPr>
            <w:tcW w:w="1806"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Risk</w:t>
            </w:r>
          </w:p>
        </w:tc>
        <w:tc>
          <w:tcPr>
            <w:tcW w:w="1806"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Likelihood</w:t>
            </w:r>
          </w:p>
        </w:tc>
        <w:tc>
          <w:tcPr>
            <w:tcW w:w="1806"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Impact</w:t>
            </w:r>
          </w:p>
        </w:tc>
        <w:tc>
          <w:tcPr>
            <w:tcW w:w="1806"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Mitigation</w:t>
            </w:r>
          </w:p>
        </w:tc>
      </w:tr>
      <w:tr>
        <w:trPr>
          <w:cantSplit/>
          <w:trHeight w:val="300" w:hRule="atLeast"/>
        </w:trPr>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R1</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Bank Indonesia delays or conditions change-of-control approval</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Medium</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High</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Pre-filing consultation via local counsel; retain founder as President Director for 24 months</w:t>
            </w:r>
          </w:p>
        </w:tc>
      </w:tr>
      <w:tr>
        <w:trPr>
          <w:cantSplit/>
          <w:trHeight w:val="300" w:hRule="atLeast"/>
        </w:trPr>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R2</w:t>
            </w:r>
          </w:p>
        </w:tc>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IDR depreciation erodes EUR-reported returns</w:t>
            </w:r>
          </w:p>
        </w:tc>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Medium</w:t>
            </w:r>
          </w:p>
        </w:tc>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Medium</w:t>
            </w:r>
          </w:p>
        </w:tc>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Hedge 60% of projected net cash flows for 36 months; price VAS contracts in USD where permitted</w:t>
            </w:r>
          </w:p>
        </w:tc>
      </w:tr>
      <w:tr>
        <w:trPr>
          <w:cantSplit/>
          <w:trHeight w:val="300" w:hRule="atLeast"/>
        </w:trPr>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R3</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Super-app pricing war in merchant acquiring</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Low</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High</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Anchor economics on VAS and cross-border volumes rather than domestic MDR</w:t>
            </w:r>
          </w:p>
        </w:tc>
      </w:tr>
      <w:tr>
        <w:trPr>
          <w:cantSplit/>
          <w:trHeight w:val="300" w:hRule="atLeast"/>
        </w:trPr>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R4</w:t>
            </w:r>
          </w:p>
        </w:tc>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Key-person attrition at target post-announcement</w:t>
            </w:r>
          </w:p>
        </w:tc>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High</w:t>
            </w:r>
          </w:p>
        </w:tc>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Medium</w:t>
            </w:r>
          </w:p>
        </w:tc>
        <w:tc>
          <w:tcPr>
            <w:tcW w:w="1806"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Retention pool of 4% of consideration for top 40 engineers and commercial leads</w:t>
            </w:r>
          </w:p>
        </w:tc>
      </w:tr>
      <w:tr>
        <w:trPr>
          <w:cantSplit/>
          <w:trHeight w:val="300" w:hRule="atLeast"/>
        </w:trPr>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R5</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Vietnam Decree 53 blocks regional hub consolidation beyond 2029</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Medium</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Medium</w:t>
            </w:r>
          </w:p>
        </w:tc>
        <w:tc>
          <w:tcPr>
            <w:tcW w:w="1806"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Design dual-region architecture from day one; onshore Vietnamese processing node budgeted at EUR 11m</w:t>
            </w:r>
          </w:p>
        </w:tc>
      </w:tr>
    </w:tbl>
    <w:p>
      <w:pPr>
        <w:spacing w:before="80" w:after="0" w:line="20" w:lineRule="exact"/>
        <w:sectPr>
          <w:headerReference w:type="default" r:id="rId16"/>
          <w:footerReference w:type="default" r:id="rId17"/>
          <w:type w:val="nextPage"/>
          <w:pgSz w:w="11910" w:h="16845"/>
          <w:pgMar w:top="1440" w:right="1440" w:bottom="1440" w:left="1440" w:header="720" w:footer="720" w:gutter="0"/>
          <w:cols w:space="720"/>
          <w:docGrid w:linePitch="360"/>
        </w:sectPr>
      </w:pPr>
    </w:p>
    <w:p>
      <w:pPr>
        <w:pStyle w:val="Heading2"/>
        <w:keepNext/>
        <w:keepLines/>
        <w:spacing w:line="276" w:lineRule="auto"/>
        <w:jc w:val="left"/>
        <w:outlineLvl w:val="1"/>
      </w:pPr>
      <w:bookmarkStart w:id="9" w:name="recommendation"/>
      <w:r>
        <w:rPr>
          <w:rFonts w:ascii="Calibri" w:hAnsi="Calibri" w:cs="Calibri"/>
          <w:noProof/>
          <w:color w:val="000000"/>
          <w:sz w:val="40"/>
          <w:szCs w:val="40"/>
        </w:rPr>
        <w:t xml:space="preserve">7. Recommendation and next steps</w:t>
      </w:r>
      <w:bookmarkEnd w:id="9"/>
    </w:p>
    <w:p>
      <w:pPr>
        <w:spacing w:line="276" w:lineRule="auto"/>
        <w:jc w:val="left"/>
      </w:pPr>
      <w:r>
        <w:rPr>
          <w:rFonts w:ascii="Calibri" w:hAnsi="Calibri" w:cs="Calibri"/>
          <w:noProof/>
          <w:color w:val="000000"/>
          <w:sz w:val="22"/>
          <w:szCs w:val="22"/>
        </w:rPr>
        <w:t xml:space="preserve">We recommend the Executive Committee approve the Indonesia-anchored acquisition path and authorise management to enter exclusivity with PT Nusantara Pay's shareholders. The transaction meets all three board constraints, and the passporting phase can be deferred or abandoned without stranding the anchor investment — Indonesia is NPV-positive on a standalone basis.</w:t>
      </w:r>
    </w:p>
    <w:p>
      <w:pPr>
        <w:pStyle w:val="ListParagraph"/>
        <w:numPr>
          <w:ilvl w:val="0"/>
          <w:numId w:val="2"/>
        </w:numPr>
        <w:spacing w:line="276" w:lineRule="auto"/>
        <w:jc w:val="left"/>
      </w:pPr>
      <w:r>
        <w:rPr>
          <w:rFonts w:ascii="Calibri" w:hAnsi="Calibri" w:cs="Calibri"/>
          <w:noProof/>
          <w:color w:val="000000"/>
          <w:sz w:val="22"/>
          <w:szCs w:val="22"/>
        </w:rPr>
        <w:t xml:space="preserve">By 31 August 2026: approve exclusivity mandate and EUR 4.5m diligence budget (financial, legal, technology and regulatory workstreams).</w:t>
      </w:r>
    </w:p>
    <w:p>
      <w:pPr>
        <w:pStyle w:val="ListParagraph"/>
        <w:numPr>
          <w:ilvl w:val="0"/>
          <w:numId w:val="2"/>
        </w:numPr>
        <w:spacing w:line="276" w:lineRule="auto"/>
        <w:jc w:val="left"/>
      </w:pPr>
      <w:r>
        <w:rPr>
          <w:rFonts w:ascii="Calibri" w:hAnsi="Calibri" w:cs="Calibri"/>
          <w:noProof/>
          <w:color w:val="000000"/>
          <w:sz w:val="22"/>
          <w:szCs w:val="22"/>
        </w:rPr>
        <w:t xml:space="preserve">By 15 October 2026: complete confirmatory due diligence; Corvus to deliver integration blueprint and 100-day plan.</w:t>
      </w:r>
    </w:p>
    <w:p>
      <w:pPr>
        <w:pStyle w:val="ListParagraph"/>
        <w:numPr>
          <w:ilvl w:val="0"/>
          <w:numId w:val="2"/>
        </w:numPr>
        <w:spacing w:line="276" w:lineRule="auto"/>
        <w:jc w:val="left"/>
      </w:pPr>
      <w:r>
        <w:rPr>
          <w:rFonts w:ascii="Calibri" w:hAnsi="Calibri" w:cs="Calibri"/>
          <w:noProof/>
          <w:color w:val="000000"/>
          <w:sz w:val="22"/>
          <w:szCs w:val="22"/>
        </w:rPr>
        <w:t xml:space="preserve">By 30 November 2026: sign SPA; file change-of-control notifications with Bank Indonesia and OJK.</w:t>
      </w:r>
    </w:p>
    <w:p>
      <w:pPr>
        <w:pStyle w:val="ListParagraph"/>
        <w:numPr>
          <w:ilvl w:val="0"/>
          <w:numId w:val="2"/>
        </w:numPr>
        <w:spacing w:line="276" w:lineRule="auto"/>
        <w:jc w:val="left"/>
      </w:pPr>
      <w:r>
        <w:rPr>
          <w:rFonts w:ascii="Calibri" w:hAnsi="Calibri" w:cs="Calibri"/>
          <w:noProof/>
          <w:color w:val="000000"/>
          <w:sz w:val="22"/>
          <w:szCs w:val="22"/>
        </w:rPr>
        <w:t xml:space="preserve">Q2-Q3 2027: close; begin cross-sell of Meridian FX netting and reconciliation suite to top-500 merchants.</w:t>
      </w:r>
    </w:p>
    <w:p>
      <w:pPr>
        <w:pStyle w:val="ListParagraph"/>
        <w:numPr>
          <w:ilvl w:val="0"/>
          <w:numId w:val="2"/>
        </w:numPr>
        <w:spacing w:line="276" w:lineRule="auto"/>
        <w:jc w:val="left"/>
      </w:pPr>
      <w:r>
        <w:rPr>
          <w:rFonts w:ascii="Calibri" w:hAnsi="Calibri" w:cs="Calibri"/>
          <w:noProof/>
          <w:color w:val="000000"/>
          <w:sz w:val="22"/>
          <w:szCs w:val="22"/>
        </w:rPr>
        <w:t xml:space="preserve">H1 2028: heads of terms for Vietnam bank partnership; BSP OPS registration filing in the Philippines.</w:t>
      </w:r>
    </w:p>
    <w:p>
      <w:pPr>
        <w:pStyle w:val="Heading2"/>
        <w:keepNext/>
        <w:keepLines/>
        <w:spacing w:line="276" w:lineRule="auto"/>
        <w:jc w:val="left"/>
        <w:outlineLvl w:val="1"/>
      </w:pPr>
      <w:bookmarkStart w:id="10" w:name="appendix-a"/>
      <w:r>
        <w:rPr>
          <w:rFonts w:ascii="Calibri" w:hAnsi="Calibri" w:cs="Calibri"/>
          <w:noProof/>
          <w:color w:val="000000"/>
          <w:sz w:val="40"/>
          <w:szCs w:val="40"/>
        </w:rPr>
        <w:t xml:space="preserve">Appendix A: Methodology and sources</w:t>
      </w:r>
      <w:bookmarkEnd w:id="10"/>
    </w:p>
    <w:p>
      <w:pPr>
        <w:spacing w:line="276" w:lineRule="auto"/>
        <w:jc w:val="left"/>
      </w:pPr>
      <w:r>
        <w:rPr>
          <w:rFonts w:ascii="Calibri" w:hAnsi="Calibri" w:cs="Calibri"/>
          <w:noProof/>
          <w:color w:val="000000"/>
          <w:sz w:val="22"/>
          <w:szCs w:val="22"/>
        </w:rPr>
        <w:t xml:space="preserve">Market sizing triangulates central-bank payment statistics (Bank Indonesia SPI tables, SBV quarterly bulletins, BSP payment-system reports), audited filings of the twelve largest regional acquirers, and a proprietary merchant survey (n=412, fielded April-May 2026). Growth forecasts use a driver tree of e-commerce penetration, POS terminal density and real-time-rail transaction caps. Exchange rate assumptions: EUR/USD 1.09, USD/IDR 16,450, held flat. Precedent transaction multiples were compiled from eight regional payments transactions closed 2022-2025 with disclosed or reliably reported terms.</w:t>
      </w:r>
    </w:p>
    <w:p>
      <w:pPr>
        <w:spacing w:line="276" w:lineRule="auto"/>
        <w:jc w:val="left"/>
      </w:pPr>
      <w:r>
        <w:rPr>
          <w:rFonts w:ascii="Calibri" w:hAnsi="Calibri" w:cs="Calibri"/>
          <w:b/>
          <w:noProof/>
          <w:color w:val="000000"/>
          <w:sz w:val="22"/>
          <w:szCs w:val="22"/>
        </w:rPr>
        <w:t xml:space="preserve">Engagement team: </w:t>
      </w:r>
      <w:r>
        <w:rPr>
          <w:rFonts w:ascii="Calibri" w:hAnsi="Calibri" w:cs="Calibri"/>
          <w:noProof/>
          <w:color w:val="000000"/>
          <w:sz w:val="22"/>
          <w:szCs w:val="22"/>
        </w:rPr>
        <w:t xml:space="preserve">A. Reinholt (Partner), S. Widjaja (Principal), M. Okafor, L. Tran, J. Fernandes. Quality review: K. Mahler (Senior Partner). For questions contact the engagement inbox: </w:t>
      </w:r>
      <w:hyperlink r:id="rId18">
        <w:r>
          <w:rPr>
            <w:rStyle w:val="Hyperlink"/>
            <w:rFonts w:ascii="Calibri" w:hAnsi="Calibri" w:cs="Calibri"/>
            <w:noProof/>
            <w:color w:val="1F4E79"/>
            <w:sz w:val="22"/>
            <w:szCs w:val="22"/>
          </w:rPr>
          <w:t xml:space="preserve">meridian-sea@corvusstrategy.com</w:t>
        </w:r>
      </w:hyperlink>
      <w:r>
        <w:rPr>
          <w:rFonts w:ascii="Calibri" w:hAnsi="Calibri" w:cs="Calibri"/>
          <w:noProof/>
          <w:color w:val="000000"/>
          <w:sz w:val="22"/>
          <w:szCs w:val="22"/>
        </w:rPr>
        <w:t xml:space="preserve">.</w:t>
      </w:r>
    </w:p>
    <w:sectPr>
      <w:headerReference w:type="default" r:id="rId19"/>
      <w:footerReference w:type="default" r:id="rId20"/>
      <w:type w:val="nextPage"/>
      <w:pgSz w:w="11910" w:h="16845"/>
      <w:pgMar w:top="1440" w:right="1440" w:bottom="1440" w:left="1440" w:header="720" w:footer="720" w:gutter="0"/>
      <w:cols w:space="720"/>
      <w:docGrid w:linePitch="360"/>
    </w:sectPr>
  </w:body>
</w:document>
</file>

<file path=word/fontTable.xml><?xml version="1.0" encoding="utf-8"?>
<w:fonts xmlns:w="http://schemas.openxmlformats.org/wordprocessingml/2006/main">
  <w:font w:name="Arial"/>
  <w:font w:name="Calibri"/>
  <w:font w:name="Calibri Light"/>
  <w:font w:name="Cambria"/>
  <w:font w:name="Consolas"/>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Corvus Strategy Partners | Engagement 2026-114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Corvus Strategy Partners | Engagement 2026-114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Corvus Strategy Partners | Engagement 2026-114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Corvus Strategy Partners | Engagement 2026-114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Corvus Strategy Partners | Engagement 2026-114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Meridian Payments Group — Confidential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Meridian Payments Group — Confidential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Meridian Payments Group — Confidential</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Meridian Payments Group — Confidential</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Meridian Payments Group — Confidential</w:t>
    </w:r>
  </w:p>
</w:hdr>
</file>

<file path=word/numbering.xml><?xml version="1.0" encoding="utf-8"?>
<w:numbering xmlns:w="http://schemas.openxmlformats.org/wordprocessingml/2006/main">
  <w:abstractNum w:abstractNumId="1">
    <w:nsid w:val="A2FAF431"/>
    <w:multiLevelType w:val="hybridMultilevel"/>
    <w:tmpl w:val="A1FAF29E"/>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A0FAF10B"/>
    <w:multiLevelType w:val="hybridMultilevel"/>
    <w:tmpl w:val="9FFAEF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mc:Ignorable="w14 w15">
  <w:zoom w:percent="100"/>
  <w:defaultTabStop w:val="720"/>
  <w:characterSpacingControl w:val="doNotCompress"/>
  <w:updateFields w:val="true"/>
  <w:compat>
    <w:compatSetting w:name="compatibilityMode" w:uri="http://schemas.microsoft.com/office/word" w:val="15"/>
  </w:compat>
  <w:rsids>
    <w:rsidRoot w:val="CF3C7919"/>
    <w:rsid w:val="7CA975AC"/>
    <w:rsid w:val="7DA9773F"/>
  </w:rsids>
</w:settings>
</file>

<file path=word/styles.xml><?xml version="1.0" encoding="utf-8"?>
<w:styles xmlns:w="http://schemas.openxmlformats.org/wordprocessingml/2006/main" xmlns:w14="http://schemas.microsoft.com/office/word/2010/wordml">
  <w:docDefaults>
    <w:rPrDefault>
      <w:rPr>
        <w:rFonts w:ascii="Calibri" w:hAnsi="Calibri" w:cs="Calibri"/>
        <w:sz w:val="22"/>
        <w:szCs w:val="22"/>
        <w:lang w:val="en-US" w:eastAsia="en-US" w:bidi="ar-SA"/>
      </w:rPr>
    </w:rPrDefault>
    <w:pPrDefault>
      <w:pPr>
        <w:spacing w:after="160" w:line="276" w:lineRule="auto"/>
      </w:pPr>
    </w:pPrDefault>
  </w:docDefaults>
  <w:latentStyles w:defLockedState="0" w:defUIPriority="99" w:defSemiHidden="0" w:defUnhideWhenUsed="0" w:defQFormat="0" w:count="376"/>
  <w:style w:type="paragraph" w:styleId="Normal" w:default="1">
    <w:name w:val="Normal"/>
    <w:qFormat/>
    <w:pPr>
      <w:spacing w:after="160" w:line="276" w:lineRule="auto"/>
    </w:pPr>
    <w:rPr>
      <w:rFonts w:ascii="Calibri" w:hAnsi="Calibri" w:cs="Calibri"/>
      <w:sz w:val="22"/>
      <w:szCs w:val="22"/>
    </w:rPr>
  </w:style>
  <w:style w:type="paragraph" w:styleId="Title">
    <w:name w:val="Title"/>
    <w:basedOn w:val="Normal"/>
    <w:qFormat/>
    <w:pPr>
      <w:spacing w:before="240" w:after="160"/>
    </w:pPr>
    <w:rPr>
      <w:rFonts w:ascii="Calibri Light" w:hAnsi="Calibri Light" w:cs="Calibri Light"/>
      <w:color w:val="1F4E79"/>
      <w:sz w:val="44"/>
      <w:szCs w:val="44"/>
    </w:rPr>
  </w:style>
  <w:style w:type="paragraph" w:styleId="Subtitle">
    <w:name w:val="Subtitle"/>
    <w:basedOn w:val="Normal"/>
    <w:qFormat/>
    <w:pPr>
      <w:spacing w:after="120"/>
    </w:pPr>
    <w:rPr>
      <w:rFonts w:ascii="Calibri" w:hAnsi="Calibri" w:cs="Calibri"/>
      <w:color w:val="5B5B5B"/>
      <w:sz w:val="28"/>
      <w:szCs w:val="28"/>
    </w:rPr>
  </w:style>
  <w:style w:type="paragraph" w:styleId="Heading1">
    <w:name w:val="heading 1"/>
    <w:basedOn w:val="Normal"/>
    <w:next w:val="Normal"/>
    <w:qFormat/>
    <w:pPr>
      <w:keepNext/>
      <w:keepLines/>
      <w:spacing w:before="240" w:after="80"/>
      <w:outlineLvl w:val="0"/>
    </w:pPr>
    <w:rPr>
      <w:rFonts w:ascii="Calibri Light" w:hAnsi="Calibri Light" w:cs="Calibri Light"/>
      <w:b/>
      <w:color w:val="2F5597"/>
      <w:sz w:val="36"/>
      <w:szCs w:val="36"/>
    </w:rPr>
  </w:style>
  <w:style w:type="paragraph" w:styleId="Heading2">
    <w:name w:val="heading 2"/>
    <w:basedOn w:val="Normal"/>
    <w:next w:val="Normal"/>
    <w:qFormat/>
    <w:pPr>
      <w:keepNext/>
      <w:keepLines/>
      <w:spacing w:before="180" w:after="60"/>
      <w:outlineLvl w:val="1"/>
    </w:pPr>
    <w:rPr>
      <w:rFonts w:ascii="Calibri Light" w:hAnsi="Calibri Light" w:cs="Calibri Light"/>
      <w:b/>
      <w:color w:val="2F5597"/>
      <w:sz w:val="32"/>
      <w:szCs w:val="32"/>
    </w:rPr>
  </w:style>
  <w:style w:type="paragraph" w:styleId="Heading3">
    <w:name w:val="heading 3"/>
    <w:basedOn w:val="Normal"/>
    <w:next w:val="Normal"/>
    <w:qFormat/>
    <w:pPr>
      <w:keepNext/>
      <w:keepLines/>
      <w:spacing w:before="140" w:after="40"/>
      <w:outlineLvl w:val="2"/>
    </w:pPr>
    <w:rPr>
      <w:rFonts w:ascii="Calibri" w:hAnsi="Calibri" w:cs="Calibri"/>
      <w:b/>
      <w:color w:val="1F3763"/>
      <w:sz w:val="28"/>
      <w:szCs w:val="28"/>
    </w:rPr>
  </w:style>
  <w:style w:type="paragraph" w:styleId="Heading4">
    <w:name w:val="heading 4"/>
    <w:basedOn w:val="Normal"/>
    <w:next w:val="Normal"/>
    <w:qFormat/>
    <w:pPr>
      <w:keepNext/>
      <w:keepLines/>
      <w:spacing w:before="120" w:after="20"/>
      <w:outlineLvl w:val="3"/>
    </w:pPr>
    <w:rPr>
      <w:rFonts w:ascii="Calibri" w:hAnsi="Calibri" w:cs="Calibri"/>
      <w:b/>
      <w:color w:val="1F3763"/>
      <w:sz w:val="26"/>
      <w:szCs w:val="26"/>
    </w:rPr>
  </w:style>
  <w:style w:type="paragraph" w:styleId="Heading5">
    <w:name w:val="heading 5"/>
    <w:basedOn w:val="Normal"/>
    <w:next w:val="Normal"/>
    <w:qFormat/>
    <w:pPr>
      <w:keepNext/>
      <w:keepLines/>
      <w:spacing w:before="120" w:after="20"/>
      <w:outlineLvl w:val="4"/>
    </w:pPr>
    <w:rPr>
      <w:rFonts w:ascii="Calibri" w:hAnsi="Calibri" w:cs="Calibri"/>
      <w:b/>
      <w:color w:val="1F3763"/>
      <w:sz w:val="24"/>
      <w:szCs w:val="24"/>
    </w:rPr>
  </w:style>
  <w:style w:type="paragraph" w:styleId="Heading6">
    <w:name w:val="heading 6"/>
    <w:basedOn w:val="Normal"/>
    <w:next w:val="Normal"/>
    <w:qFormat/>
    <w:pPr>
      <w:keepNext/>
      <w:keepLines/>
      <w:spacing w:before="120" w:after="20"/>
      <w:outlineLvl w:val="5"/>
    </w:pPr>
    <w:rPr>
      <w:rFonts w:ascii="Calibri" w:hAnsi="Calibri" w:cs="Calibri"/>
      <w:b/>
      <w:color w:val="1F3763"/>
      <w:sz w:val="22"/>
      <w:szCs w:val="22"/>
    </w:rPr>
  </w:style>
  <w:style w:type="paragraph" w:styleId="CodeBlock">
    <w:name w:val="Code Block"/>
    <w:basedOn w:val="Normal"/>
    <w:qFormat/>
    <w:pPr>
      <w:spacing w:before="80" w:after="80" w:line="240" w:lineRule="auto"/>
    </w:pPr>
    <w:rPr>
      <w:rFonts w:ascii="Consolas" w:hAnsi="Consolas" w:cs="Consolas"/>
      <w:noProof/>
      <w:sz w:val="20"/>
      <w:szCs w:val="20"/>
    </w:rPr>
  </w:style>
  <w:style w:type="paragraph" w:styleId="Divider">
    <w:name w:val="Divider"/>
    <w:basedOn w:val="Normal"/>
    <w:qFormat/>
    <w:pPr>
      <w:spacing w:before="80" w:after="80"/>
    </w:pPr>
  </w:style>
  <w:style w:type="paragraph" w:styleId="ListParagraph">
    <w:name w:val="List Paragraph"/>
    <w:basedOn w:val="Normal"/>
    <w:qFormat/>
    <w:pPr>
      <w:ind w:left="720" w:hanging="360"/>
      <w:contextualSpacing/>
    </w:pPr>
  </w:style>
  <w:style w:type="paragraph" w:styleId="NoSpacing">
    <w:name w:val="No Spacing"/>
    <w:basedOn w:val="Normal"/>
    <w:qFormat/>
  </w:style>
  <w:style w:type="paragraph" w:styleId="Quote">
    <w:name w:val="Quote"/>
    <w:basedOn w:val="Normal"/>
    <w:qFormat/>
    <w:pPr>
      <w:spacing w:before="120" w:after="120"/>
    </w:pPr>
    <w:rPr>
      <w:i/>
      <w:color w:val="666666"/>
    </w:rPr>
  </w:style>
  <w:style w:type="paragraph" w:styleId="IntenseQuote">
    <w:name w:val="Intense Quote"/>
    <w:basedOn w:val="Quote"/>
    <w:qFormat/>
    <w:pPr>
      <w:spacing w:before="160" w:after="160"/>
    </w:pPr>
    <w:rPr>
      <w:i/>
      <w:color w:val="2F5597"/>
    </w:rPr>
  </w:style>
  <w:style w:type="paragraph" w:styleId="Header">
    <w:name w:val="Header"/>
    <w:basedOn w:val="Normal"/>
    <w:qFormat/>
    <w:pPr>
      <w:jc w:val="right"/>
    </w:pPr>
    <w:rPr>
      <w:color w:val="666666"/>
      <w:sz w:val="20"/>
      <w:szCs w:val="20"/>
    </w:rPr>
  </w:style>
  <w:style w:type="paragraph" w:styleId="Footer">
    <w:name w:val="Footer"/>
    <w:basedOn w:val="Normal"/>
    <w:qFormat/>
    <w:pPr>
      <w:jc w:val="center"/>
    </w:pPr>
    <w:rPr>
      <w:color w:val="666666"/>
      <w:sz w:val="20"/>
      <w:szCs w:val="20"/>
    </w:rPr>
  </w:style>
  <w:style w:type="character" w:styleId="DefaultParagraphFont">
    <w:name w:val="Default Paragraph Font"/>
  </w:style>
  <w:style w:type="character" w:styleId="Hyperlink">
    <w:name w:val="Hyperlink"/>
    <w:rPr>
      <w:color w:val="0563C1"/>
      <w:u w:val="single"/>
    </w:rPr>
  </w:style>
  <w:style w:type="character" w:styleId="Strong">
    <w:name w:val="Strong"/>
    <w:rPr>
      <w:b/>
    </w:rPr>
  </w:style>
  <w:style w:type="character" w:styleId="Emphasis">
    <w:name w:val="Emphasis"/>
    <w:rPr>
      <w:i/>
    </w:rPr>
  </w:style>
  <w:style w:type="character" w:styleId="Code">
    <w:name w:val="Code"/>
    <w:rPr>
      <w:rFonts w:ascii="Consolas" w:hAnsi="Consolas" w:cs="Consolas"/>
      <w:noProof/>
      <w:sz w:val="20"/>
      <w:szCs w:val="20"/>
    </w:rPr>
  </w:style>
  <w:style w:type="paragraph" w:styleId="TOCHeading">
    <w:name w:val="TOC Heading"/>
    <w:basedOn w:val="Heading1"/>
    <w:next w:val="Normal"/>
    <w:qFormat/>
  </w:style>
  <w:style w:type="paragraph" w:styleId="TOC1">
    <w:name w:val="toc 1"/>
    <w:basedOn w:val="Normal"/>
    <w:next w:val="Normal"/>
    <w:qFormat/>
    <w:pPr>
      <w:spacing w:after="100"/>
    </w:pPr>
  </w:style>
  <w:style w:type="paragraph" w:styleId="TOC2">
    <w:name w:val="toc 2"/>
    <w:basedOn w:val="Normal"/>
    <w:next w:val="Normal"/>
    <w:qFormat/>
    <w:pPr>
      <w:spacing w:after="100"/>
    </w:pPr>
  </w:style>
  <w:style w:type="paragraph" w:styleId="TOC3">
    <w:name w:val="toc 3"/>
    <w:basedOn w:val="Normal"/>
    <w:next w:val="Normal"/>
    <w:qFormat/>
    <w:pPr>
      <w:spacing w:after="100"/>
    </w:pPr>
  </w:style>
  <w:style w:type="paragraph" w:styleId="TOC4">
    <w:name w:val="toc 4"/>
    <w:basedOn w:val="Normal"/>
    <w:next w:val="Normal"/>
    <w:qFormat/>
    <w:pPr>
      <w:spacing w:after="100"/>
    </w:pPr>
  </w:style>
  <w:style w:type="paragraph" w:styleId="TOC5">
    <w:name w:val="toc 5"/>
    <w:basedOn w:val="Normal"/>
    <w:next w:val="Normal"/>
    <w:qFormat/>
    <w:pPr>
      <w:spacing w:after="100"/>
    </w:pPr>
  </w:style>
  <w:style w:type="paragraph" w:styleId="TOC6">
    <w:name w:val="toc 6"/>
    <w:basedOn w:val="Normal"/>
    <w:next w:val="Normal"/>
    <w:qFormat/>
    <w:pPr>
      <w:spacing w:after="100"/>
    </w:pPr>
  </w:style>
  <w:style w:type="paragraph" w:styleId="FootnoteText">
    <w:name w:val="footnote text"/>
    <w:basedOn w:val="Normal"/>
    <w:qFormat/>
    <w:rPr>
      <w:sz w:val="20"/>
      <w:szCs w:val="20"/>
    </w:rPr>
  </w:style>
  <w:style w:type="character" w:styleId="FootnoteReference">
    <w:name w:val="footnote reference"/>
    <w:rPr>
      <w:vertAlign w:val="superscript"/>
    </w:rPr>
  </w:style>
  <w:style w:type="paragraph" w:styleId="EndnoteText">
    <w:name w:val="endnote text"/>
    <w:basedOn w:val="Normal"/>
    <w:qFormat/>
    <w:rPr>
      <w:sz w:val="20"/>
      <w:szCs w:val="20"/>
    </w:rPr>
  </w:style>
  <w:style w:type="character" w:styleId="EndnoteReference">
    <w:name w:val="endnote reference"/>
    <w:rPr>
      <w:vertAlign w:val="superscript"/>
    </w:rPr>
  </w:style>
  <w:style w:type="paragraph" w:styleId="CommentText">
    <w:name w:val="comment text"/>
    <w:basedOn w:val="Normal"/>
    <w:qFormat/>
    <w:rPr>
      <w:sz w:val="20"/>
      <w:szCs w:val="20"/>
    </w:rPr>
  </w:style>
  <w:style w:type="character" w:styleId="CommentReference">
    <w:name w:val="comment reference"/>
    <w:rPr>
      <w:sz w:val="16"/>
      <w:szCs w:val="16"/>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001.sv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yperlink" Target="mailto:meridian-sea@corvusstrategy.com" TargetMode="Externa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numbering" Target="numbering.xml"/></Relationships>
</file>

<file path=word/theme/theme1.xml><?xml version="1.0" encoding="utf-8"?>
<a:theme xmlns:a="http://schemas.openxmlformats.org/drawingml/2006/main" name="PaperJSX Theme">
  <a:themeElements>
    <a:clrScheme name="PaperJSX Colors">
      <a:dk1>
        <a:srgbClr val="000000"/>
      </a:dk1>
      <a:lt1>
        <a:srgbClr val="FFFFFF"/>
      </a:lt1>
      <a:dk2>
        <a:srgbClr val="1F1F1F"/>
      </a:dk2>
      <a:lt2>
        <a:srgbClr val="F5F5F5"/>
      </a:lt2>
      <a:accent1>
        <a:srgbClr val="2F5597"/>
      </a:accent1>
      <a:accent2>
        <a:srgbClr val="5B9BD5"/>
      </a:accent2>
      <a:accent3>
        <a:srgbClr val="70AD47"/>
      </a:accent3>
      <a:accent4>
        <a:srgbClr val="FFC000"/>
      </a:accent4>
      <a:accent5>
        <a:srgbClr val="4472C4"/>
      </a:accent5>
      <a:accent6>
        <a:srgbClr val="C00000"/>
      </a:accent6>
      <a:hlink>
        <a:srgbClr val="0563C1"/>
      </a:hlink>
      <a:folHlink>
        <a:srgbClr val="954F72"/>
      </a:folHlink>
    </a:clrScheme>
    <a:fontScheme name="PaperJSX Fonts">
      <a:majorFont>
        <a:latin typeface="Cambria"/>
        <a:ea typeface=""/>
        <a:cs typeface=""/>
      </a:majorFont>
      <a:minorFont>
        <a:latin typeface="Calibri"/>
        <a:ea typeface=""/>
        <a:cs typeface=""/>
      </a:minorFont>
    </a:fontScheme>
    <a:fmtScheme name="PaperJSX Form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chemeClr>
            </a:gs>
            <a:gs pos="50000">
              <a:schemeClr val="phClr">
                <a:tint val="98000"/>
                <a:satMod val="130000"/>
              </a:schemeClr>
            </a:gs>
            <a:gs pos="100000">
              <a:schemeClr val="phClr">
                <a:shade val="63000"/>
                <a:satMod val="120000"/>
              </a:schemeClr>
            </a:gs>
          </a:gsLst>
          <a:path path="circle">
            <a:fillToRect l="50000" t="-80000" r="50000" b="18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PaperJSX</Application>
  <DocSecurity>0</DocSecurity>
  <ScaleCrop>false</ScaleCrop>
  <Company>PaperJSX</Company>
  <LinksUpToDate>false</LinksUpToDate>
  <SharedDoc>false</SharedDoc>
  <HyperlinksChanged>false</HyperlinksChanged>
  <AppVersion>16.0000</AppVersion>
  <Pages>5</Pages>
  <Words>0</Words>
  <Characters>0</Character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Entry Assessment: Southeast Asia Digital Payments</dc:title>
  <dc:subject>Market-entry analysis prepared for Meridian Payments Group</dc:subject>
  <dc:creator>@paperjsx/json-to-docx</dc:creator>
  <cp:keywords>market entry, Southeast Asia, digital payments, strategy</cp:keywords>
  <dc:description/>
  <cp:lastModifiedBy>Corvus Strategy Partners</cp:lastModifiedBy>
  <dcterms:created xsi:type="dcterms:W3CDTF">2026-04-10T00:00:00.000Z</dcterms:created>
  <dcterms:modified xsi:type="dcterms:W3CDTF">2026-04-10T00:00:00.000Z</dcterms:modified>
</cp:coreProperties>
</file>